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C0F1E" w14:textId="04FD7701" w:rsidR="00CF64CF" w:rsidRPr="004D1C1B" w:rsidRDefault="00367AA2" w:rsidP="00D90091">
      <w:pPr>
        <w:ind w:firstLine="193"/>
        <w:jc w:val="right"/>
        <w:rPr>
          <w:spacing w:val="-4"/>
          <w:sz w:val="21"/>
          <w:szCs w:val="21"/>
          <w:lang w:val="en-GB"/>
        </w:rPr>
      </w:pPr>
      <w:r w:rsidRPr="004D1C1B">
        <w:rPr>
          <w:sz w:val="21"/>
          <w:szCs w:val="21"/>
          <w:lang w:val="en-GB"/>
        </w:rPr>
        <w:t>Date:</w:t>
      </w:r>
      <w:r w:rsidR="00DC6D28" w:rsidRPr="004D1C1B">
        <w:rPr>
          <w:spacing w:val="-4"/>
          <w:sz w:val="21"/>
          <w:szCs w:val="21"/>
          <w:lang w:val="en-GB"/>
        </w:rPr>
        <w:t xml:space="preserve"> </w:t>
      </w:r>
      <w:r w:rsidR="00B624C7">
        <w:rPr>
          <w:spacing w:val="-4"/>
          <w:sz w:val="21"/>
          <w:szCs w:val="21"/>
          <w:lang w:val="en-GB"/>
        </w:rPr>
        <w:t>17</w:t>
      </w:r>
      <w:r w:rsidR="00B624C7" w:rsidRPr="004D1C1B">
        <w:rPr>
          <w:spacing w:val="-4"/>
          <w:sz w:val="21"/>
          <w:szCs w:val="21"/>
          <w:lang w:val="en-GB"/>
        </w:rPr>
        <w:t xml:space="preserve"> </w:t>
      </w:r>
      <w:r w:rsidR="00A15096" w:rsidRPr="004D1C1B">
        <w:rPr>
          <w:spacing w:val="-4"/>
          <w:sz w:val="21"/>
          <w:szCs w:val="21"/>
          <w:lang w:val="en-GB"/>
        </w:rPr>
        <w:t>April</w:t>
      </w:r>
      <w:r w:rsidR="00DC6D28" w:rsidRPr="004D1C1B">
        <w:rPr>
          <w:spacing w:val="-4"/>
          <w:sz w:val="21"/>
          <w:szCs w:val="21"/>
          <w:lang w:val="en-GB"/>
        </w:rPr>
        <w:t xml:space="preserve"> 2026</w:t>
      </w:r>
    </w:p>
    <w:p w14:paraId="15F0CF19" w14:textId="77777777" w:rsidR="00697D50" w:rsidRPr="004D1C1B" w:rsidRDefault="00697D50" w:rsidP="00DC6D28">
      <w:pPr>
        <w:jc w:val="both"/>
        <w:rPr>
          <w:sz w:val="21"/>
          <w:szCs w:val="21"/>
          <w:lang w:val="en-GB"/>
        </w:rPr>
      </w:pPr>
    </w:p>
    <w:p w14:paraId="565225BB" w14:textId="77777777" w:rsidR="00CF64CF" w:rsidRPr="004D1C1B" w:rsidRDefault="00CF64CF" w:rsidP="00D90091">
      <w:pPr>
        <w:pStyle w:val="BodyText"/>
        <w:jc w:val="both"/>
        <w:rPr>
          <w:lang w:val="en-GB"/>
        </w:rPr>
      </w:pPr>
    </w:p>
    <w:p w14:paraId="287E4C5B" w14:textId="77777777" w:rsidR="00CF64CF" w:rsidRPr="004D1C1B" w:rsidRDefault="00367AA2" w:rsidP="00D90091">
      <w:pPr>
        <w:pStyle w:val="Heading1"/>
        <w:ind w:left="0"/>
        <w:jc w:val="both"/>
        <w:rPr>
          <w:color w:val="1E3763"/>
          <w:spacing w:val="-2"/>
          <w:u w:color="1E3763"/>
          <w:lang w:val="en-GB"/>
        </w:rPr>
      </w:pPr>
      <w:r w:rsidRPr="004D1C1B">
        <w:rPr>
          <w:color w:val="1E3763"/>
          <w:u w:color="1E3763"/>
          <w:lang w:val="en-GB"/>
        </w:rPr>
        <w:t>No consideration of</w:t>
      </w:r>
      <w:r w:rsidRPr="004D1C1B">
        <w:rPr>
          <w:color w:val="1E3763"/>
          <w:spacing w:val="3"/>
          <w:u w:color="1E3763"/>
          <w:lang w:val="en-GB"/>
        </w:rPr>
        <w:t xml:space="preserve"> </w:t>
      </w:r>
      <w:r w:rsidRPr="004D1C1B">
        <w:rPr>
          <w:color w:val="1E3763"/>
          <w:u w:color="1E3763"/>
          <w:lang w:val="en-GB"/>
        </w:rPr>
        <w:t>adverse</w:t>
      </w:r>
      <w:r w:rsidRPr="004D1C1B">
        <w:rPr>
          <w:color w:val="1E3763"/>
          <w:spacing w:val="-1"/>
          <w:u w:color="1E3763"/>
          <w:lang w:val="en-GB"/>
        </w:rPr>
        <w:t xml:space="preserve"> </w:t>
      </w:r>
      <w:r w:rsidRPr="004D1C1B">
        <w:rPr>
          <w:color w:val="1E3763"/>
          <w:u w:color="1E3763"/>
          <w:lang w:val="en-GB"/>
        </w:rPr>
        <w:t>impacts</w:t>
      </w:r>
      <w:r w:rsidRPr="004D1C1B">
        <w:rPr>
          <w:color w:val="1E3763"/>
          <w:spacing w:val="2"/>
          <w:u w:color="1E3763"/>
          <w:lang w:val="en-GB"/>
        </w:rPr>
        <w:t xml:space="preserve"> </w:t>
      </w:r>
      <w:r w:rsidRPr="004D1C1B">
        <w:rPr>
          <w:color w:val="1E3763"/>
          <w:u w:color="1E3763"/>
          <w:lang w:val="en-GB"/>
        </w:rPr>
        <w:t>of investment</w:t>
      </w:r>
      <w:r w:rsidRPr="004D1C1B">
        <w:rPr>
          <w:color w:val="1E3763"/>
          <w:spacing w:val="1"/>
          <w:u w:color="1E3763"/>
          <w:lang w:val="en-GB"/>
        </w:rPr>
        <w:t xml:space="preserve"> </w:t>
      </w:r>
      <w:r w:rsidRPr="004D1C1B">
        <w:rPr>
          <w:color w:val="1E3763"/>
          <w:u w:color="1E3763"/>
          <w:lang w:val="en-GB"/>
        </w:rPr>
        <w:t>decisions</w:t>
      </w:r>
      <w:r w:rsidRPr="004D1C1B">
        <w:rPr>
          <w:color w:val="1E3763"/>
          <w:spacing w:val="-1"/>
          <w:u w:color="1E3763"/>
          <w:lang w:val="en-GB"/>
        </w:rPr>
        <w:t xml:space="preserve"> </w:t>
      </w:r>
      <w:r w:rsidRPr="004D1C1B">
        <w:rPr>
          <w:color w:val="1E3763"/>
          <w:u w:color="1E3763"/>
          <w:lang w:val="en-GB"/>
        </w:rPr>
        <w:t>on</w:t>
      </w:r>
      <w:r w:rsidRPr="004D1C1B">
        <w:rPr>
          <w:color w:val="1E3763"/>
          <w:spacing w:val="1"/>
          <w:u w:color="1E3763"/>
          <w:lang w:val="en-GB"/>
        </w:rPr>
        <w:t xml:space="preserve"> </w:t>
      </w:r>
      <w:r w:rsidRPr="004D1C1B">
        <w:rPr>
          <w:color w:val="1E3763"/>
          <w:u w:color="1E3763"/>
          <w:lang w:val="en-GB"/>
        </w:rPr>
        <w:t xml:space="preserve">sustainability </w:t>
      </w:r>
      <w:r w:rsidRPr="004D1C1B">
        <w:rPr>
          <w:color w:val="1E3763"/>
          <w:spacing w:val="-2"/>
          <w:u w:color="1E3763"/>
          <w:lang w:val="en-GB"/>
        </w:rPr>
        <w:t>factors</w:t>
      </w:r>
    </w:p>
    <w:p w14:paraId="3F119A2B" w14:textId="77777777" w:rsidR="00A15096" w:rsidRPr="004D1C1B" w:rsidRDefault="00A15096">
      <w:pPr>
        <w:pStyle w:val="BodyText"/>
        <w:jc w:val="both"/>
        <w:rPr>
          <w:lang w:val="en-GB"/>
        </w:rPr>
      </w:pPr>
    </w:p>
    <w:p w14:paraId="387EA143" w14:textId="15106581" w:rsidR="00A15096" w:rsidRPr="004D1C1B" w:rsidRDefault="00A15096" w:rsidP="00D90091">
      <w:pPr>
        <w:pStyle w:val="BodyText"/>
        <w:jc w:val="both"/>
        <w:rPr>
          <w:lang w:val="en-GB"/>
        </w:rPr>
      </w:pPr>
      <w:r w:rsidRPr="004D1C1B">
        <w:rPr>
          <w:lang w:val="en-GB"/>
        </w:rPr>
        <w:t>At entity level</w:t>
      </w:r>
      <w:r w:rsidR="004D1C1B" w:rsidRPr="004D1C1B">
        <w:rPr>
          <w:lang w:val="en-GB"/>
        </w:rPr>
        <w:t xml:space="preserve"> of the Firm</w:t>
      </w:r>
      <w:r w:rsidRPr="004D1C1B">
        <w:rPr>
          <w:lang w:val="en-GB"/>
        </w:rPr>
        <w:t xml:space="preserve">, and with respect to Fund I, the Firm has decided not to </w:t>
      </w:r>
      <w:proofErr w:type="gramStart"/>
      <w:r w:rsidRPr="004D1C1B">
        <w:rPr>
          <w:lang w:val="en-GB"/>
        </w:rPr>
        <w:t>take into account</w:t>
      </w:r>
      <w:proofErr w:type="gramEnd"/>
      <w:r w:rsidRPr="004D1C1B">
        <w:rPr>
          <w:lang w:val="en-GB"/>
        </w:rPr>
        <w:t xml:space="preserve"> and does not intend to </w:t>
      </w:r>
      <w:proofErr w:type="gramStart"/>
      <w:r w:rsidRPr="004D1C1B">
        <w:rPr>
          <w:lang w:val="en-GB"/>
        </w:rPr>
        <w:t>take into account</w:t>
      </w:r>
      <w:proofErr w:type="gramEnd"/>
      <w:r w:rsidRPr="004D1C1B">
        <w:rPr>
          <w:lang w:val="en-GB"/>
        </w:rPr>
        <w:t xml:space="preserve"> principal adverse impacts of investment decisions on sustainability factors in accordance with Article 4(1)(b) of SFDR and Article 12 of </w:t>
      </w:r>
      <w:r w:rsidR="00ED1395" w:rsidRPr="004D1C1B">
        <w:rPr>
          <w:lang w:val="en-GB"/>
        </w:rPr>
        <w:t>RTS</w:t>
      </w:r>
      <w:r w:rsidRPr="004D1C1B">
        <w:rPr>
          <w:lang w:val="en-GB"/>
        </w:rPr>
        <w:t xml:space="preserve">. </w:t>
      </w:r>
    </w:p>
    <w:p w14:paraId="7AB9407A" w14:textId="77777777" w:rsidR="00A15096" w:rsidRPr="004D1C1B" w:rsidRDefault="00A15096" w:rsidP="00D90091">
      <w:pPr>
        <w:pStyle w:val="BodyText"/>
        <w:jc w:val="both"/>
        <w:rPr>
          <w:lang w:val="en-GB"/>
        </w:rPr>
      </w:pPr>
    </w:p>
    <w:p w14:paraId="685B0381" w14:textId="1759F591" w:rsidR="00CF64CF" w:rsidRPr="004D1C1B" w:rsidRDefault="00A15096" w:rsidP="00D90091">
      <w:pPr>
        <w:pStyle w:val="BodyText"/>
        <w:jc w:val="both"/>
        <w:rPr>
          <w:lang w:val="en-GB"/>
        </w:rPr>
      </w:pPr>
      <w:r w:rsidRPr="004D1C1B">
        <w:rPr>
          <w:lang w:val="en-GB"/>
        </w:rPr>
        <w:t xml:space="preserve">In </w:t>
      </w:r>
      <w:r w:rsidR="004D1C1B" w:rsidRPr="004D1C1B">
        <w:rPr>
          <w:lang w:val="en-GB"/>
        </w:rPr>
        <w:t>a</w:t>
      </w:r>
      <w:r w:rsidRPr="004D1C1B">
        <w:rPr>
          <w:lang w:val="en-GB"/>
        </w:rPr>
        <w:t xml:space="preserve">ddition, the Firm has decided that </w:t>
      </w:r>
      <w:r w:rsidR="00B2576D" w:rsidRPr="004D1C1B">
        <w:rPr>
          <w:lang w:val="en-GB"/>
        </w:rPr>
        <w:t>Fund II</w:t>
      </w:r>
      <w:r w:rsidRPr="004D1C1B">
        <w:rPr>
          <w:lang w:val="en-GB"/>
        </w:rPr>
        <w:t xml:space="preserve"> does not consider</w:t>
      </w:r>
      <w:r w:rsidR="00505257" w:rsidRPr="004D1C1B">
        <w:rPr>
          <w:lang w:val="en-GB"/>
        </w:rPr>
        <w:t xml:space="preserve"> principal adverse impacts </w:t>
      </w:r>
      <w:r w:rsidRPr="004D1C1B">
        <w:rPr>
          <w:lang w:val="en-GB"/>
        </w:rPr>
        <w:t xml:space="preserve">of investment decisions </w:t>
      </w:r>
      <w:r w:rsidR="00505257" w:rsidRPr="004D1C1B">
        <w:rPr>
          <w:lang w:val="en-GB"/>
        </w:rPr>
        <w:t xml:space="preserve">on sustainability factors for the purposes of </w:t>
      </w:r>
      <w:r w:rsidRPr="004D1C1B">
        <w:rPr>
          <w:lang w:val="en-GB"/>
        </w:rPr>
        <w:t xml:space="preserve">the </w:t>
      </w:r>
      <w:r w:rsidR="00505257" w:rsidRPr="004D1C1B">
        <w:rPr>
          <w:lang w:val="en-GB"/>
        </w:rPr>
        <w:t>SFDR. As part of its ESG risk management</w:t>
      </w:r>
      <w:r w:rsidR="004D1C1B" w:rsidRPr="004D1C1B">
        <w:rPr>
          <w:lang w:val="en-GB"/>
        </w:rPr>
        <w:t xml:space="preserve">, </w:t>
      </w:r>
      <w:r w:rsidR="00505257" w:rsidRPr="004D1C1B">
        <w:rPr>
          <w:lang w:val="en-GB"/>
        </w:rPr>
        <w:t xml:space="preserve"> monitoring, </w:t>
      </w:r>
      <w:r w:rsidR="004D1C1B" w:rsidRPr="004D1C1B">
        <w:rPr>
          <w:lang w:val="en-GB"/>
        </w:rPr>
        <w:t xml:space="preserve">and, where relevant, contractual ESG reporting, </w:t>
      </w:r>
      <w:r w:rsidR="00505257" w:rsidRPr="004D1C1B">
        <w:rPr>
          <w:lang w:val="en-GB"/>
        </w:rPr>
        <w:t xml:space="preserve">Fund II may track a limited set of ESG indicators that correspond to certain SFDR principal adverse impact indicators on a voluntary, qualitative and non-standardised basis, </w:t>
      </w:r>
      <w:r w:rsidR="00B2576D" w:rsidRPr="004D1C1B">
        <w:rPr>
          <w:lang w:val="en-GB"/>
        </w:rPr>
        <w:t>in accordance with the SFDR pre-contractual disclosures and the Responsible Investment Policy. These are used internally for ESG risk management and</w:t>
      </w:r>
      <w:r w:rsidR="004D1C1B" w:rsidRPr="004D1C1B">
        <w:rPr>
          <w:lang w:val="en-GB"/>
        </w:rPr>
        <w:t xml:space="preserve">, where relevant, for contractual </w:t>
      </w:r>
      <w:r w:rsidR="00B2576D" w:rsidRPr="004D1C1B">
        <w:rPr>
          <w:lang w:val="en-GB"/>
        </w:rPr>
        <w:t>reporting purposes but do not constitute a formal opt-in under Article 4(1)(a) of the SFDR.</w:t>
      </w:r>
    </w:p>
    <w:p w14:paraId="06A24794" w14:textId="77777777" w:rsidR="00CF64CF" w:rsidRPr="004D1C1B" w:rsidRDefault="00CF64CF" w:rsidP="00D90091">
      <w:pPr>
        <w:pStyle w:val="BodyText"/>
        <w:jc w:val="both"/>
        <w:rPr>
          <w:lang w:val="en-GB"/>
        </w:rPr>
      </w:pPr>
    </w:p>
    <w:p w14:paraId="72FB0688" w14:textId="712E7059" w:rsidR="00505257" w:rsidRPr="004D1C1B" w:rsidRDefault="00B2576D">
      <w:pPr>
        <w:pStyle w:val="BodyText"/>
        <w:jc w:val="both"/>
        <w:rPr>
          <w:lang w:val="en-GB"/>
        </w:rPr>
      </w:pPr>
      <w:r w:rsidRPr="004D1C1B">
        <w:rPr>
          <w:lang w:val="en-GB"/>
        </w:rPr>
        <w:t xml:space="preserve">The Firm has decided not to consider the principal adverse impacts of investment decisions on sustainability factors at the entity level due to the specific nature of its operations. The Firm manages closed-end private equity funds that primarily aim to improve core business processes and financial performance of small and medium-sized enterprises (SMEs) with a view to exiting these investments within a short to medium-term horizon (1 to 5 years). </w:t>
      </w:r>
      <w:r w:rsidR="00505257" w:rsidRPr="004D1C1B">
        <w:rPr>
          <w:lang w:val="en-GB"/>
        </w:rPr>
        <w:t>This decision is also driven by the limited availability and comparability of data required to assess such impacts in private markets and the proportionality of the Firm’s size and operations. The Firm will review this position periodically</w:t>
      </w:r>
      <w:r w:rsidR="004D1C1B" w:rsidRPr="004D1C1B">
        <w:rPr>
          <w:lang w:val="en-GB"/>
        </w:rPr>
        <w:t xml:space="preserve">, including </w:t>
      </w:r>
      <w:proofErr w:type="gramStart"/>
      <w:r w:rsidR="004D1C1B" w:rsidRPr="004D1C1B">
        <w:rPr>
          <w:lang w:val="en-GB"/>
        </w:rPr>
        <w:t>in light of</w:t>
      </w:r>
      <w:proofErr w:type="gramEnd"/>
      <w:r w:rsidR="004D1C1B" w:rsidRPr="004D1C1B">
        <w:rPr>
          <w:lang w:val="en-GB"/>
        </w:rPr>
        <w:t xml:space="preserve"> regulatory developments and the evolution of its ESG processes.</w:t>
      </w:r>
    </w:p>
    <w:p w14:paraId="38D17310" w14:textId="77777777" w:rsidR="00505257" w:rsidRPr="004D1C1B" w:rsidRDefault="00505257">
      <w:pPr>
        <w:pStyle w:val="BodyText"/>
        <w:jc w:val="both"/>
        <w:rPr>
          <w:lang w:val="en-GB"/>
        </w:rPr>
      </w:pPr>
    </w:p>
    <w:p w14:paraId="1AA0B8D5" w14:textId="385BE79E" w:rsidR="00CF64CF" w:rsidRPr="004D1C1B" w:rsidRDefault="00B2576D" w:rsidP="00D90091">
      <w:pPr>
        <w:pStyle w:val="BodyText"/>
        <w:jc w:val="both"/>
        <w:rPr>
          <w:lang w:val="en-GB"/>
        </w:rPr>
      </w:pPr>
      <w:r w:rsidRPr="004D1C1B">
        <w:rPr>
          <w:lang w:val="en-GB"/>
        </w:rPr>
        <w:t>Given the closed-end structure of Fund I, with no new investors permitted post-closing, there is no requirement for pre-contractual disclosure under SFDR. Nonetheless, the Firm integrates sustainability risks at the fund level, as described in the section “Transparency of the integration of sustainability risks.”</w:t>
      </w:r>
    </w:p>
    <w:p w14:paraId="2638A583" w14:textId="77777777" w:rsidR="00CB511F" w:rsidRPr="004D1C1B" w:rsidRDefault="00CB511F" w:rsidP="00D90091">
      <w:pPr>
        <w:pStyle w:val="BodyText"/>
        <w:jc w:val="both"/>
        <w:rPr>
          <w:lang w:val="en-GB"/>
        </w:rPr>
      </w:pPr>
    </w:p>
    <w:p w14:paraId="6AC23D2E" w14:textId="60CB9DD1" w:rsidR="00CB511F" w:rsidRPr="004D1C1B" w:rsidRDefault="00CB511F" w:rsidP="00D90091">
      <w:pPr>
        <w:pStyle w:val="BodyText"/>
        <w:jc w:val="both"/>
        <w:rPr>
          <w:lang w:val="en-GB"/>
        </w:rPr>
      </w:pPr>
    </w:p>
    <w:p w14:paraId="0F28CBA6" w14:textId="797FC538" w:rsidR="00CB511F" w:rsidRPr="004D1C1B" w:rsidRDefault="00CB511F" w:rsidP="00D90091">
      <w:pPr>
        <w:pStyle w:val="BodyText"/>
        <w:jc w:val="both"/>
        <w:rPr>
          <w:lang w:val="en-GB"/>
        </w:rPr>
      </w:pPr>
    </w:p>
    <w:sectPr w:rsidR="00CB511F" w:rsidRPr="004D1C1B" w:rsidSect="00D90091">
      <w:headerReference w:type="default" r:id="rId10"/>
      <w:footerReference w:type="even" r:id="rId11"/>
      <w:footerReference w:type="default" r:id="rId12"/>
      <w:pgSz w:w="11910" w:h="16840"/>
      <w:pgMar w:top="1843" w:right="1276" w:bottom="1276"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E5E36" w14:textId="77777777" w:rsidR="00C75F61" w:rsidRDefault="00C75F61" w:rsidP="00697D50">
      <w:r>
        <w:separator/>
      </w:r>
    </w:p>
  </w:endnote>
  <w:endnote w:type="continuationSeparator" w:id="0">
    <w:p w14:paraId="6ADB91FF" w14:textId="77777777" w:rsidR="00C75F61" w:rsidRDefault="00C75F61" w:rsidP="0069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2097874"/>
      <w:docPartObj>
        <w:docPartGallery w:val="Page Numbers (Bottom of Page)"/>
        <w:docPartUnique/>
      </w:docPartObj>
    </w:sdtPr>
    <w:sdtEndPr>
      <w:rPr>
        <w:rStyle w:val="PageNumber"/>
      </w:rPr>
    </w:sdtEndPr>
    <w:sdtContent>
      <w:p w14:paraId="478A6676" w14:textId="6E9B841E" w:rsidR="00DC6D28" w:rsidRDefault="00DC6D28" w:rsidP="00E11C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9F0D790" w14:textId="77777777" w:rsidR="00DC6D28" w:rsidRDefault="00DC6D28" w:rsidP="00D900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872965919"/>
      <w:docPartObj>
        <w:docPartGallery w:val="Page Numbers (Bottom of Page)"/>
        <w:docPartUnique/>
      </w:docPartObj>
    </w:sdtPr>
    <w:sdtEndPr>
      <w:rPr>
        <w:rStyle w:val="PageNumber"/>
      </w:rPr>
    </w:sdtEndPr>
    <w:sdtContent>
      <w:p w14:paraId="0D13076A" w14:textId="34DDCD8C" w:rsidR="00DC6D28" w:rsidRPr="00D90091" w:rsidRDefault="00DC6D28" w:rsidP="00E11C78">
        <w:pPr>
          <w:pStyle w:val="Footer"/>
          <w:framePr w:wrap="none" w:vAnchor="text" w:hAnchor="margin" w:xAlign="right" w:y="1"/>
          <w:rPr>
            <w:rStyle w:val="PageNumber"/>
            <w:sz w:val="21"/>
            <w:szCs w:val="21"/>
          </w:rPr>
        </w:pPr>
        <w:r w:rsidRPr="00D90091">
          <w:rPr>
            <w:rStyle w:val="PageNumber"/>
            <w:sz w:val="21"/>
            <w:szCs w:val="21"/>
          </w:rPr>
          <w:fldChar w:fldCharType="begin"/>
        </w:r>
        <w:r w:rsidRPr="00D90091">
          <w:rPr>
            <w:rStyle w:val="PageNumber"/>
            <w:sz w:val="21"/>
            <w:szCs w:val="21"/>
          </w:rPr>
          <w:instrText xml:space="preserve"> PAGE </w:instrText>
        </w:r>
        <w:r w:rsidRPr="00D90091">
          <w:rPr>
            <w:rStyle w:val="PageNumber"/>
            <w:sz w:val="21"/>
            <w:szCs w:val="21"/>
          </w:rPr>
          <w:fldChar w:fldCharType="separate"/>
        </w:r>
        <w:r w:rsidRPr="00D90091">
          <w:rPr>
            <w:rStyle w:val="PageNumber"/>
            <w:noProof/>
            <w:sz w:val="21"/>
            <w:szCs w:val="21"/>
          </w:rPr>
          <w:t>5</w:t>
        </w:r>
        <w:r w:rsidRPr="00D90091">
          <w:rPr>
            <w:rStyle w:val="PageNumber"/>
            <w:sz w:val="21"/>
            <w:szCs w:val="21"/>
          </w:rPr>
          <w:fldChar w:fldCharType="end"/>
        </w:r>
      </w:p>
    </w:sdtContent>
  </w:sdt>
  <w:p w14:paraId="60CBFF6E" w14:textId="77777777" w:rsidR="00DC6D28" w:rsidRDefault="00DC6D28" w:rsidP="00D900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5E10A" w14:textId="77777777" w:rsidR="00C75F61" w:rsidRDefault="00C75F61" w:rsidP="00697D50">
      <w:r>
        <w:separator/>
      </w:r>
    </w:p>
  </w:footnote>
  <w:footnote w:type="continuationSeparator" w:id="0">
    <w:p w14:paraId="0CB82DDE" w14:textId="77777777" w:rsidR="00C75F61" w:rsidRDefault="00C75F61" w:rsidP="00697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0A2B" w14:textId="48969C82" w:rsidR="00697D50" w:rsidRDefault="00697D50">
    <w:pPr>
      <w:pStyle w:val="Header"/>
    </w:pPr>
    <w:r w:rsidRPr="00D90091">
      <w:rPr>
        <w:noProof/>
        <w:sz w:val="19"/>
        <w:lang w:val="en-GB"/>
      </w:rPr>
      <w:drawing>
        <wp:anchor distT="0" distB="0" distL="0" distR="0" simplePos="0" relativeHeight="251659264" behindDoc="0" locked="0" layoutInCell="1" allowOverlap="1" wp14:anchorId="54FEFD05" wp14:editId="553D81D5">
          <wp:simplePos x="0" y="0"/>
          <wp:positionH relativeFrom="page">
            <wp:posOffset>809625</wp:posOffset>
          </wp:positionH>
          <wp:positionV relativeFrom="paragraph">
            <wp:posOffset>0</wp:posOffset>
          </wp:positionV>
          <wp:extent cx="877146" cy="403013"/>
          <wp:effectExtent l="0" t="0" r="0" b="0"/>
          <wp:wrapNone/>
          <wp:docPr id="9869579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77146" cy="4030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B36"/>
    <w:multiLevelType w:val="hybridMultilevel"/>
    <w:tmpl w:val="2F8689D2"/>
    <w:lvl w:ilvl="0" w:tplc="08090001">
      <w:start w:val="1"/>
      <w:numFmt w:val="bullet"/>
      <w:lvlText w:val=""/>
      <w:lvlJc w:val="left"/>
      <w:pPr>
        <w:ind w:left="845" w:hanging="360"/>
      </w:pPr>
      <w:rPr>
        <w:rFonts w:ascii="Symbol" w:hAnsi="Symbol" w:hint="default"/>
      </w:rPr>
    </w:lvl>
    <w:lvl w:ilvl="1" w:tplc="08090003" w:tentative="1">
      <w:start w:val="1"/>
      <w:numFmt w:val="bullet"/>
      <w:lvlText w:val="o"/>
      <w:lvlJc w:val="left"/>
      <w:pPr>
        <w:ind w:left="1565" w:hanging="360"/>
      </w:pPr>
      <w:rPr>
        <w:rFonts w:ascii="Courier New" w:hAnsi="Courier New" w:cs="Courier New" w:hint="default"/>
      </w:rPr>
    </w:lvl>
    <w:lvl w:ilvl="2" w:tplc="08090005" w:tentative="1">
      <w:start w:val="1"/>
      <w:numFmt w:val="bullet"/>
      <w:lvlText w:val=""/>
      <w:lvlJc w:val="left"/>
      <w:pPr>
        <w:ind w:left="2285" w:hanging="360"/>
      </w:pPr>
      <w:rPr>
        <w:rFonts w:ascii="Wingdings" w:hAnsi="Wingdings" w:hint="default"/>
      </w:rPr>
    </w:lvl>
    <w:lvl w:ilvl="3" w:tplc="08090001" w:tentative="1">
      <w:start w:val="1"/>
      <w:numFmt w:val="bullet"/>
      <w:lvlText w:val=""/>
      <w:lvlJc w:val="left"/>
      <w:pPr>
        <w:ind w:left="3005" w:hanging="360"/>
      </w:pPr>
      <w:rPr>
        <w:rFonts w:ascii="Symbol" w:hAnsi="Symbol" w:hint="default"/>
      </w:rPr>
    </w:lvl>
    <w:lvl w:ilvl="4" w:tplc="08090003" w:tentative="1">
      <w:start w:val="1"/>
      <w:numFmt w:val="bullet"/>
      <w:lvlText w:val="o"/>
      <w:lvlJc w:val="left"/>
      <w:pPr>
        <w:ind w:left="3725" w:hanging="360"/>
      </w:pPr>
      <w:rPr>
        <w:rFonts w:ascii="Courier New" w:hAnsi="Courier New" w:cs="Courier New" w:hint="default"/>
      </w:rPr>
    </w:lvl>
    <w:lvl w:ilvl="5" w:tplc="08090005" w:tentative="1">
      <w:start w:val="1"/>
      <w:numFmt w:val="bullet"/>
      <w:lvlText w:val=""/>
      <w:lvlJc w:val="left"/>
      <w:pPr>
        <w:ind w:left="4445" w:hanging="360"/>
      </w:pPr>
      <w:rPr>
        <w:rFonts w:ascii="Wingdings" w:hAnsi="Wingdings" w:hint="default"/>
      </w:rPr>
    </w:lvl>
    <w:lvl w:ilvl="6" w:tplc="08090001" w:tentative="1">
      <w:start w:val="1"/>
      <w:numFmt w:val="bullet"/>
      <w:lvlText w:val=""/>
      <w:lvlJc w:val="left"/>
      <w:pPr>
        <w:ind w:left="5165" w:hanging="360"/>
      </w:pPr>
      <w:rPr>
        <w:rFonts w:ascii="Symbol" w:hAnsi="Symbol" w:hint="default"/>
      </w:rPr>
    </w:lvl>
    <w:lvl w:ilvl="7" w:tplc="08090003" w:tentative="1">
      <w:start w:val="1"/>
      <w:numFmt w:val="bullet"/>
      <w:lvlText w:val="o"/>
      <w:lvlJc w:val="left"/>
      <w:pPr>
        <w:ind w:left="5885" w:hanging="360"/>
      </w:pPr>
      <w:rPr>
        <w:rFonts w:ascii="Courier New" w:hAnsi="Courier New" w:cs="Courier New" w:hint="default"/>
      </w:rPr>
    </w:lvl>
    <w:lvl w:ilvl="8" w:tplc="08090005" w:tentative="1">
      <w:start w:val="1"/>
      <w:numFmt w:val="bullet"/>
      <w:lvlText w:val=""/>
      <w:lvlJc w:val="left"/>
      <w:pPr>
        <w:ind w:left="6605" w:hanging="360"/>
      </w:pPr>
      <w:rPr>
        <w:rFonts w:ascii="Wingdings" w:hAnsi="Wingdings" w:hint="default"/>
      </w:rPr>
    </w:lvl>
  </w:abstractNum>
  <w:abstractNum w:abstractNumId="1" w15:restartNumberingAfterBreak="0">
    <w:nsid w:val="2BFA5317"/>
    <w:multiLevelType w:val="hybridMultilevel"/>
    <w:tmpl w:val="492EF87C"/>
    <w:lvl w:ilvl="0" w:tplc="DF0AFBE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77662DB"/>
    <w:multiLevelType w:val="hybridMultilevel"/>
    <w:tmpl w:val="4FE6B3DE"/>
    <w:lvl w:ilvl="0" w:tplc="AC388E58">
      <w:start w:val="1"/>
      <w:numFmt w:val="lowerRoman"/>
      <w:lvlText w:val="(%1)"/>
      <w:lvlJc w:val="left"/>
      <w:pPr>
        <w:ind w:left="846" w:hanging="360"/>
      </w:pPr>
      <w:rPr>
        <w:rFonts w:hint="default"/>
      </w:rPr>
    </w:lvl>
    <w:lvl w:ilvl="1" w:tplc="08090019" w:tentative="1">
      <w:start w:val="1"/>
      <w:numFmt w:val="lowerLetter"/>
      <w:lvlText w:val="%2."/>
      <w:lvlJc w:val="left"/>
      <w:pPr>
        <w:ind w:left="1566" w:hanging="360"/>
      </w:pPr>
    </w:lvl>
    <w:lvl w:ilvl="2" w:tplc="0809001B" w:tentative="1">
      <w:start w:val="1"/>
      <w:numFmt w:val="lowerRoman"/>
      <w:lvlText w:val="%3."/>
      <w:lvlJc w:val="right"/>
      <w:pPr>
        <w:ind w:left="2286" w:hanging="180"/>
      </w:pPr>
    </w:lvl>
    <w:lvl w:ilvl="3" w:tplc="0809000F" w:tentative="1">
      <w:start w:val="1"/>
      <w:numFmt w:val="decimal"/>
      <w:lvlText w:val="%4."/>
      <w:lvlJc w:val="left"/>
      <w:pPr>
        <w:ind w:left="3006" w:hanging="360"/>
      </w:pPr>
    </w:lvl>
    <w:lvl w:ilvl="4" w:tplc="08090019" w:tentative="1">
      <w:start w:val="1"/>
      <w:numFmt w:val="lowerLetter"/>
      <w:lvlText w:val="%5."/>
      <w:lvlJc w:val="left"/>
      <w:pPr>
        <w:ind w:left="3726" w:hanging="360"/>
      </w:pPr>
    </w:lvl>
    <w:lvl w:ilvl="5" w:tplc="0809001B" w:tentative="1">
      <w:start w:val="1"/>
      <w:numFmt w:val="lowerRoman"/>
      <w:lvlText w:val="%6."/>
      <w:lvlJc w:val="right"/>
      <w:pPr>
        <w:ind w:left="4446" w:hanging="180"/>
      </w:pPr>
    </w:lvl>
    <w:lvl w:ilvl="6" w:tplc="0809000F" w:tentative="1">
      <w:start w:val="1"/>
      <w:numFmt w:val="decimal"/>
      <w:lvlText w:val="%7."/>
      <w:lvlJc w:val="left"/>
      <w:pPr>
        <w:ind w:left="5166" w:hanging="360"/>
      </w:pPr>
    </w:lvl>
    <w:lvl w:ilvl="7" w:tplc="08090019" w:tentative="1">
      <w:start w:val="1"/>
      <w:numFmt w:val="lowerLetter"/>
      <w:lvlText w:val="%8."/>
      <w:lvlJc w:val="left"/>
      <w:pPr>
        <w:ind w:left="5886" w:hanging="360"/>
      </w:pPr>
    </w:lvl>
    <w:lvl w:ilvl="8" w:tplc="0809001B" w:tentative="1">
      <w:start w:val="1"/>
      <w:numFmt w:val="lowerRoman"/>
      <w:lvlText w:val="%9."/>
      <w:lvlJc w:val="right"/>
      <w:pPr>
        <w:ind w:left="6606" w:hanging="180"/>
      </w:pPr>
    </w:lvl>
  </w:abstractNum>
  <w:abstractNum w:abstractNumId="3" w15:restartNumberingAfterBreak="0">
    <w:nsid w:val="5E634991"/>
    <w:multiLevelType w:val="hybridMultilevel"/>
    <w:tmpl w:val="E4A04C06"/>
    <w:lvl w:ilvl="0" w:tplc="89E0D8EC">
      <w:start w:val="1"/>
      <w:numFmt w:val="low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3915A34"/>
    <w:multiLevelType w:val="hybridMultilevel"/>
    <w:tmpl w:val="7FCEA922"/>
    <w:lvl w:ilvl="0" w:tplc="AC388E5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8709118">
    <w:abstractNumId w:val="2"/>
  </w:num>
  <w:num w:numId="2" w16cid:durableId="2112820414">
    <w:abstractNumId w:val="4"/>
  </w:num>
  <w:num w:numId="3" w16cid:durableId="721250407">
    <w:abstractNumId w:val="0"/>
  </w:num>
  <w:num w:numId="4" w16cid:durableId="62721854">
    <w:abstractNumId w:val="3"/>
  </w:num>
  <w:num w:numId="5" w16cid:durableId="1990285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CF"/>
    <w:rsid w:val="0003231D"/>
    <w:rsid w:val="00086E08"/>
    <w:rsid w:val="000E2D25"/>
    <w:rsid w:val="001240B1"/>
    <w:rsid w:val="001250EA"/>
    <w:rsid w:val="00131CEB"/>
    <w:rsid w:val="001E0AC7"/>
    <w:rsid w:val="0025584C"/>
    <w:rsid w:val="00367AA2"/>
    <w:rsid w:val="00445111"/>
    <w:rsid w:val="00457DB8"/>
    <w:rsid w:val="00480950"/>
    <w:rsid w:val="004D1C1B"/>
    <w:rsid w:val="004D58A3"/>
    <w:rsid w:val="004F334F"/>
    <w:rsid w:val="00505257"/>
    <w:rsid w:val="005D7C21"/>
    <w:rsid w:val="00601642"/>
    <w:rsid w:val="0067676F"/>
    <w:rsid w:val="006900C1"/>
    <w:rsid w:val="00697D50"/>
    <w:rsid w:val="006A03AF"/>
    <w:rsid w:val="006A291D"/>
    <w:rsid w:val="006A2D8C"/>
    <w:rsid w:val="006B32F1"/>
    <w:rsid w:val="00834FBC"/>
    <w:rsid w:val="00876B77"/>
    <w:rsid w:val="00886A40"/>
    <w:rsid w:val="008D1562"/>
    <w:rsid w:val="008E5B95"/>
    <w:rsid w:val="00900C93"/>
    <w:rsid w:val="00941BA8"/>
    <w:rsid w:val="009D4941"/>
    <w:rsid w:val="00A03CC9"/>
    <w:rsid w:val="00A075BA"/>
    <w:rsid w:val="00A15096"/>
    <w:rsid w:val="00AA597D"/>
    <w:rsid w:val="00B022FC"/>
    <w:rsid w:val="00B2576D"/>
    <w:rsid w:val="00B3642F"/>
    <w:rsid w:val="00B460F1"/>
    <w:rsid w:val="00B624C7"/>
    <w:rsid w:val="00BA4D42"/>
    <w:rsid w:val="00BE4355"/>
    <w:rsid w:val="00BF7E4E"/>
    <w:rsid w:val="00C05863"/>
    <w:rsid w:val="00C22C36"/>
    <w:rsid w:val="00C4054A"/>
    <w:rsid w:val="00C6111A"/>
    <w:rsid w:val="00C75F61"/>
    <w:rsid w:val="00CB511F"/>
    <w:rsid w:val="00CF64CF"/>
    <w:rsid w:val="00D90091"/>
    <w:rsid w:val="00DC6D28"/>
    <w:rsid w:val="00E41D8E"/>
    <w:rsid w:val="00EA6DC2"/>
    <w:rsid w:val="00ED1395"/>
    <w:rsid w:val="00EF19FE"/>
    <w:rsid w:val="00F32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A3385"/>
  <w15:docId w15:val="{5DAA03D4-D5CE-904C-A01D-8E641CCB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
      <w:outlineLvl w:val="0"/>
    </w:pPr>
    <w:rPr>
      <w:b/>
      <w:bCs/>
      <w:sz w:val="25"/>
      <w:szCs w:val="25"/>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1"/>
      <w:ind w:left="3"/>
      <w:jc w:val="center"/>
    </w:pPr>
    <w:rPr>
      <w:b/>
      <w:bCs/>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F7E4E"/>
    <w:pPr>
      <w:widowControl/>
      <w:autoSpaceDE/>
      <w:autoSpaceDN/>
    </w:pPr>
    <w:rPr>
      <w:rFonts w:ascii="Calibri" w:eastAsia="Calibri" w:hAnsi="Calibri" w:cs="Calibri"/>
    </w:rPr>
  </w:style>
  <w:style w:type="paragraph" w:styleId="Header">
    <w:name w:val="header"/>
    <w:basedOn w:val="Normal"/>
    <w:link w:val="HeaderChar"/>
    <w:uiPriority w:val="99"/>
    <w:unhideWhenUsed/>
    <w:rsid w:val="00697D50"/>
    <w:pPr>
      <w:tabs>
        <w:tab w:val="center" w:pos="4536"/>
        <w:tab w:val="right" w:pos="9072"/>
      </w:tabs>
    </w:pPr>
  </w:style>
  <w:style w:type="character" w:customStyle="1" w:styleId="HeaderChar">
    <w:name w:val="Header Char"/>
    <w:basedOn w:val="DefaultParagraphFont"/>
    <w:link w:val="Header"/>
    <w:uiPriority w:val="99"/>
    <w:rsid w:val="00697D50"/>
    <w:rPr>
      <w:rFonts w:ascii="Calibri" w:eastAsia="Calibri" w:hAnsi="Calibri" w:cs="Calibri"/>
    </w:rPr>
  </w:style>
  <w:style w:type="paragraph" w:styleId="Footer">
    <w:name w:val="footer"/>
    <w:basedOn w:val="Normal"/>
    <w:link w:val="FooterChar"/>
    <w:uiPriority w:val="99"/>
    <w:unhideWhenUsed/>
    <w:rsid w:val="00697D50"/>
    <w:pPr>
      <w:tabs>
        <w:tab w:val="center" w:pos="4536"/>
        <w:tab w:val="right" w:pos="9072"/>
      </w:tabs>
    </w:pPr>
  </w:style>
  <w:style w:type="character" w:customStyle="1" w:styleId="FooterChar">
    <w:name w:val="Footer Char"/>
    <w:basedOn w:val="DefaultParagraphFont"/>
    <w:link w:val="Footer"/>
    <w:uiPriority w:val="99"/>
    <w:rsid w:val="00697D50"/>
    <w:rPr>
      <w:rFonts w:ascii="Calibri" w:eastAsia="Calibri" w:hAnsi="Calibri" w:cs="Calibri"/>
    </w:rPr>
  </w:style>
  <w:style w:type="character" w:styleId="CommentReference">
    <w:name w:val="annotation reference"/>
    <w:basedOn w:val="DefaultParagraphFont"/>
    <w:uiPriority w:val="99"/>
    <w:semiHidden/>
    <w:unhideWhenUsed/>
    <w:rsid w:val="00C4054A"/>
    <w:rPr>
      <w:sz w:val="16"/>
      <w:szCs w:val="16"/>
    </w:rPr>
  </w:style>
  <w:style w:type="paragraph" w:styleId="CommentText">
    <w:name w:val="annotation text"/>
    <w:basedOn w:val="Normal"/>
    <w:link w:val="CommentTextChar"/>
    <w:uiPriority w:val="99"/>
    <w:unhideWhenUsed/>
    <w:rsid w:val="00C4054A"/>
    <w:rPr>
      <w:sz w:val="20"/>
      <w:szCs w:val="20"/>
    </w:rPr>
  </w:style>
  <w:style w:type="character" w:customStyle="1" w:styleId="CommentTextChar">
    <w:name w:val="Comment Text Char"/>
    <w:basedOn w:val="DefaultParagraphFont"/>
    <w:link w:val="CommentText"/>
    <w:uiPriority w:val="99"/>
    <w:rsid w:val="00C4054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4054A"/>
    <w:rPr>
      <w:b/>
      <w:bCs/>
    </w:rPr>
  </w:style>
  <w:style w:type="character" w:customStyle="1" w:styleId="CommentSubjectChar">
    <w:name w:val="Comment Subject Char"/>
    <w:basedOn w:val="CommentTextChar"/>
    <w:link w:val="CommentSubject"/>
    <w:uiPriority w:val="99"/>
    <w:semiHidden/>
    <w:rsid w:val="00C4054A"/>
    <w:rPr>
      <w:rFonts w:ascii="Calibri" w:eastAsia="Calibri" w:hAnsi="Calibri" w:cs="Calibri"/>
      <w:b/>
      <w:bCs/>
      <w:sz w:val="20"/>
      <w:szCs w:val="20"/>
    </w:rPr>
  </w:style>
  <w:style w:type="character" w:styleId="PageNumber">
    <w:name w:val="page number"/>
    <w:basedOn w:val="DefaultParagraphFont"/>
    <w:uiPriority w:val="99"/>
    <w:semiHidden/>
    <w:unhideWhenUsed/>
    <w:rsid w:val="00DC6D28"/>
  </w:style>
  <w:style w:type="paragraph" w:customStyle="1" w:styleId="Heading1Custom">
    <w:name w:val="Heading 1 Custom"/>
    <w:basedOn w:val="Heading1"/>
    <w:qFormat/>
    <w:rsid w:val="00DC6D28"/>
    <w:pPr>
      <w:ind w:left="0"/>
      <w:jc w:val="both"/>
    </w:pPr>
    <w:rPr>
      <w:color w:val="1E3763"/>
      <w:u w:color="1E3763"/>
      <w:lang w:val="en-GB"/>
    </w:rPr>
  </w:style>
  <w:style w:type="paragraph" w:customStyle="1" w:styleId="Heading2Custom">
    <w:name w:val="Heading 2 Custom"/>
    <w:basedOn w:val="Heading1Custom"/>
    <w:qFormat/>
    <w:rsid w:val="00DC6D28"/>
    <w:rPr>
      <w:sz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72e73b3-11ff-42d7-9247-091d7aebb192" xsi:nil="true"/>
    <lcf76f155ced4ddcb4097134ff3c332f xmlns="d4c4f6c7-25a9-40cf-b347-0327acdd5e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4F7DE2609A1E46857CDC2A7D8360C9" ma:contentTypeVersion="21" ma:contentTypeDescription="Create a new document." ma:contentTypeScope="" ma:versionID="9ec65eaf23c24a0465f0823def152cc8">
  <xsd:schema xmlns:xsd="http://www.w3.org/2001/XMLSchema" xmlns:xs="http://www.w3.org/2001/XMLSchema" xmlns:p="http://schemas.microsoft.com/office/2006/metadata/properties" xmlns:ns1="http://schemas.microsoft.com/sharepoint/v3" xmlns:ns2="d4c4f6c7-25a9-40cf-b347-0327acdd5ea8" xmlns:ns3="572e73b3-11ff-42d7-9247-091d7aebb192" targetNamespace="http://schemas.microsoft.com/office/2006/metadata/properties" ma:root="true" ma:fieldsID="8b7571208a787f543e5c8bd8d6d1af40" ns1:_="" ns2:_="" ns3:_="">
    <xsd:import namespace="http://schemas.microsoft.com/sharepoint/v3"/>
    <xsd:import namespace="d4c4f6c7-25a9-40cf-b347-0327acdd5ea8"/>
    <xsd:import namespace="572e73b3-11ff-42d7-9247-091d7aebb1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c4f6c7-25a9-40cf-b347-0327acdd5e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cb8bf1-9921-4fc9-9bf1-ae2f166e9d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2e73b3-11ff-42d7-9247-091d7aebb19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7a883f-a6bb-4a55-bcf3-2e122ab806c7}" ma:internalName="TaxCatchAll" ma:showField="CatchAllData" ma:web="572e73b3-11ff-42d7-9247-091d7aebb1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D0741-1E5A-4238-BF8A-3AF3047B3D0C}">
  <ds:schemaRefs>
    <ds:schemaRef ds:uri="http://schemas.microsoft.com/office/2006/metadata/properties"/>
    <ds:schemaRef ds:uri="http://schemas.microsoft.com/office/infopath/2007/PartnerControls"/>
    <ds:schemaRef ds:uri="http://schemas.microsoft.com/sharepoint/v3"/>
    <ds:schemaRef ds:uri="572e73b3-11ff-42d7-9247-091d7aebb192"/>
    <ds:schemaRef ds:uri="d4c4f6c7-25a9-40cf-b347-0327acdd5ea8"/>
  </ds:schemaRefs>
</ds:datastoreItem>
</file>

<file path=customXml/itemProps2.xml><?xml version="1.0" encoding="utf-8"?>
<ds:datastoreItem xmlns:ds="http://schemas.openxmlformats.org/officeDocument/2006/customXml" ds:itemID="{FF4E529D-4C09-45EC-80BF-F1E4ADBE8389}">
  <ds:schemaRefs>
    <ds:schemaRef ds:uri="http://schemas.microsoft.com/sharepoint/v3/contenttype/forms"/>
  </ds:schemaRefs>
</ds:datastoreItem>
</file>

<file path=customXml/itemProps3.xml><?xml version="1.0" encoding="utf-8"?>
<ds:datastoreItem xmlns:ds="http://schemas.openxmlformats.org/officeDocument/2006/customXml" ds:itemID="{88B01C8E-D33F-450E-8A43-E8A9D71F7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c4f6c7-25a9-40cf-b347-0327acdd5ea8"/>
    <ds:schemaRef ds:uri="572e73b3-11ff-42d7-9247-091d7aebb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Microsoft Word - PAI statemet.docx</vt:lpstr>
    </vt:vector>
  </TitlesOfParts>
  <Manager/>
  <Company/>
  <LinksUpToDate>false</LinksUpToDate>
  <CharactersWithSpaces>2209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Mirna Marovic</dc:creator>
  <cp:keywords/>
  <dc:description/>
  <cp:lastModifiedBy>Zrinka Vuković Berić</cp:lastModifiedBy>
  <cp:revision>2</cp:revision>
  <dcterms:created xsi:type="dcterms:W3CDTF">2026-07-21T14:03:00Z</dcterms:created>
  <dcterms:modified xsi:type="dcterms:W3CDTF">2026-07-21T14:03:00Z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2023-06-28T10:00:00Z</vt:filetime>
  </property>
  <property fmtid="{D5CDD505-2E9C-101B-9397-08002B2CF9AE}" pid="3" name="Creator">
    <vt:lpwstr>PScript5.dll Version 5.2.2</vt:lpwstr>
  </property>
  <property fmtid="{D5CDD505-2E9C-101B-9397-08002B2CF9AE}" pid="4" name="LastSaved">
    <vt:filetime>2025-07-21T10:00:00Z</vt:filetime>
  </property>
  <property fmtid="{D5CDD505-2E9C-101B-9397-08002B2CF9AE}" pid="5" name="Producer">
    <vt:lpwstr>Acrobat Distiller 23.0 (Windows)</vt:lpwstr>
  </property>
  <property fmtid="{D5CDD505-2E9C-101B-9397-08002B2CF9AE}" pid="6" name="ContentTypeId">
    <vt:lpwstr>0x010100444F7DE2609A1E46857CDC2A7D8360C9</vt:lpwstr>
  </property>
  <property fmtid="{D5CDD505-2E9C-101B-9397-08002B2CF9AE}" pid="7" name="MediaServiceImageTags">
    <vt:lpwstr/>
  </property>
  <property fmtid="{D5CDD505-2E9C-101B-9397-08002B2CF9AE}" pid="8" name="GrammarlyDocumentId">
    <vt:lpwstr>de81b97f-5a1f-4bbe-a60b-c71e269987ef</vt:lpwstr>
  </property>
</Properties>
</file>