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A4DC7" w14:textId="77777777" w:rsidR="00A15096" w:rsidRPr="00E815E1" w:rsidRDefault="00A15096">
      <w:pPr>
        <w:pStyle w:val="BodyText"/>
        <w:jc w:val="both"/>
        <w:rPr>
          <w:lang w:val="hr-HR"/>
        </w:rPr>
      </w:pPr>
    </w:p>
    <w:p w14:paraId="299BAC2F" w14:textId="4219208C" w:rsidR="00E815E1" w:rsidRPr="00E815E1" w:rsidRDefault="00E815E1" w:rsidP="00E815E1">
      <w:pPr>
        <w:ind w:firstLine="193"/>
        <w:jc w:val="right"/>
        <w:rPr>
          <w:spacing w:val="-4"/>
          <w:sz w:val="21"/>
          <w:szCs w:val="21"/>
          <w:lang w:val="hr-HR"/>
        </w:rPr>
      </w:pPr>
      <w:r w:rsidRPr="00E815E1">
        <w:rPr>
          <w:lang w:val="hr-HR"/>
        </w:rPr>
        <w:t xml:space="preserve">Datum: </w:t>
      </w:r>
      <w:r w:rsidR="00764EC2">
        <w:rPr>
          <w:lang w:val="hr-HR"/>
        </w:rPr>
        <w:t>17</w:t>
      </w:r>
      <w:r w:rsidR="00764EC2" w:rsidRPr="00E815E1">
        <w:rPr>
          <w:lang w:val="hr-HR"/>
        </w:rPr>
        <w:t xml:space="preserve">. </w:t>
      </w:r>
      <w:r w:rsidRPr="00E815E1">
        <w:rPr>
          <w:lang w:val="hr-HR"/>
        </w:rPr>
        <w:t>travnja 2026.</w:t>
      </w:r>
    </w:p>
    <w:p w14:paraId="54295D9E" w14:textId="77777777" w:rsidR="00E815E1" w:rsidRPr="00E815E1" w:rsidRDefault="00E815E1" w:rsidP="00E815E1">
      <w:pPr>
        <w:jc w:val="both"/>
        <w:rPr>
          <w:sz w:val="21"/>
          <w:szCs w:val="21"/>
          <w:lang w:val="hr-HR"/>
        </w:rPr>
      </w:pPr>
    </w:p>
    <w:p w14:paraId="51F9485F" w14:textId="4726EA75" w:rsidR="00E815E1" w:rsidRPr="00E815E1" w:rsidRDefault="00E815E1" w:rsidP="00E815E1">
      <w:pPr>
        <w:jc w:val="both"/>
        <w:rPr>
          <w:lang w:val="hr-HR"/>
        </w:rPr>
      </w:pPr>
      <w:r w:rsidRPr="00E815E1">
        <w:rPr>
          <w:lang w:val="hr-HR"/>
        </w:rPr>
        <w:t>Ova objava na internetskim stranicama preispituje se najmanje jednom godišnje i ažurira u slučaju bitnih promjena (npr. pokretanja novog fonda, izmjena Uredbe (EU) 2019/2088 Europskog parlamenta i Vijeća od 27. studenoga 2019. o objavama povezanima s održivosti u sektoru financijskih usluga („SFDR”), Uredbe (EU) 2020/852 Europskog parlamenta i Vijeća od 18. lipnja 2020. o uspostavi okvira za olakšavanje održivih ulaganja i izmjeni Uredbe (EU) 2019/2088 („TR”),</w:t>
      </w:r>
      <w:r>
        <w:rPr>
          <w:lang w:val="hr-HR"/>
        </w:rPr>
        <w:t xml:space="preserve"> </w:t>
      </w:r>
      <w:r w:rsidRPr="00E815E1">
        <w:rPr>
          <w:lang w:val="hr-HR"/>
        </w:rPr>
        <w:t xml:space="preserve">Delegirane uredbe Komisije (EU) 2022/1288, </w:t>
      </w:r>
      <w:proofErr w:type="spellStart"/>
      <w:r w:rsidRPr="00E815E1">
        <w:rPr>
          <w:lang w:val="hr-HR"/>
        </w:rPr>
        <w:t>оd</w:t>
      </w:r>
      <w:proofErr w:type="spellEnd"/>
      <w:r w:rsidRPr="00E815E1">
        <w:rPr>
          <w:lang w:val="hr-HR"/>
        </w:rPr>
        <w:t xml:space="preserve"> 6. travnja 2022.</w:t>
      </w:r>
      <w:r>
        <w:rPr>
          <w:lang w:val="hr-HR"/>
        </w:rPr>
        <w:t xml:space="preserve"> </w:t>
      </w:r>
      <w:r w:rsidRPr="00E815E1">
        <w:rPr>
          <w:lang w:val="hr-HR"/>
        </w:rPr>
        <w:t>o dopuni Uredbe (EU) 2019/2088 Europskog parlamenta i Vijeća u pogledu regulatornih tehničkih standarda kojima se pobliže određuju sadržaj i prikaz informacija o načelu „ne nanosi bitnu štetu”, sadržaj, metodologije i prikaz informacija o pokazateljima održivosti i štetnim učincima na održivost te sadržaj i prikaz informacija o promicanju okolišnih ili socijalnih obilježja i ciljeva održivih ulaganja u predugovornoj dokumentaciji, na internetskim („RTS”), drugih primjenjivih regulatornih tehničkih standarda donesenih na temelju SFDR-a ili ažuriranja politika i postupaka Društva).</w:t>
      </w:r>
    </w:p>
    <w:p w14:paraId="635A3369" w14:textId="77777777" w:rsidR="00E815E1" w:rsidRPr="00E815E1" w:rsidRDefault="00E815E1" w:rsidP="00E815E1">
      <w:pPr>
        <w:jc w:val="both"/>
        <w:rPr>
          <w:sz w:val="21"/>
          <w:szCs w:val="21"/>
          <w:lang w:val="hr-HR"/>
        </w:rPr>
      </w:pPr>
    </w:p>
    <w:p w14:paraId="16732740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5AB58F80" w14:textId="77777777" w:rsidR="00E815E1" w:rsidRPr="00E815E1" w:rsidRDefault="00E815E1" w:rsidP="00E815E1">
      <w:pPr>
        <w:pStyle w:val="Title"/>
        <w:spacing w:before="0"/>
        <w:ind w:left="0"/>
        <w:rPr>
          <w:color w:val="1E3763"/>
          <w:lang w:val="hr-HR"/>
        </w:rPr>
      </w:pPr>
      <w:r w:rsidRPr="00E815E1">
        <w:rPr>
          <w:color w:val="1E3763"/>
          <w:lang w:val="hr-HR"/>
        </w:rPr>
        <w:t>OBJAVE INFORMACIJA O ODRŽIVOSTI</w:t>
      </w:r>
    </w:p>
    <w:p w14:paraId="024F05C2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2C9C984D" w14:textId="59026CC1" w:rsidR="00E815E1" w:rsidRPr="00E815E1" w:rsidRDefault="00E815E1" w:rsidP="00E815E1">
      <w:pPr>
        <w:jc w:val="both"/>
        <w:rPr>
          <w:lang w:val="hr-HR"/>
        </w:rPr>
      </w:pPr>
      <w:r w:rsidRPr="00E815E1">
        <w:rPr>
          <w:lang w:val="hr-HR"/>
        </w:rPr>
        <w:t xml:space="preserve">Niže navedene informacije odnose se na aktivnosti i postupke povezane s </w:t>
      </w:r>
      <w:r w:rsidR="00361383">
        <w:rPr>
          <w:lang w:val="hr-HR"/>
        </w:rPr>
        <w:t>j</w:t>
      </w:r>
      <w:r w:rsidR="00361383" w:rsidRPr="00361383">
        <w:rPr>
          <w:lang w:val="hr-HR"/>
        </w:rPr>
        <w:t xml:space="preserve">avnim objavama društva Invera Equity </w:t>
      </w:r>
      <w:r w:rsidR="00B57BE7" w:rsidRPr="00361383">
        <w:rPr>
          <w:lang w:val="hr-HR"/>
        </w:rPr>
        <w:t>Partner</w:t>
      </w:r>
      <w:r w:rsidR="00B57BE7">
        <w:rPr>
          <w:lang w:val="hr-HR"/>
        </w:rPr>
        <w:t>i</w:t>
      </w:r>
      <w:r w:rsidR="00B57BE7" w:rsidRPr="00361383">
        <w:rPr>
          <w:lang w:val="hr-HR"/>
        </w:rPr>
        <w:t xml:space="preserve"> </w:t>
      </w:r>
      <w:r w:rsidR="00361383" w:rsidRPr="00361383">
        <w:rPr>
          <w:lang w:val="hr-HR"/>
        </w:rPr>
        <w:t xml:space="preserve">(„Društvo”) na internetskim stranicama u skladu sa SFDR-om i TR-om. Dodatne obveze povezane s održivošću koje se primjenjuju na Fond II na temelju njegovih konstitutivnih dokumenata i relevantnih side </w:t>
      </w:r>
      <w:proofErr w:type="spellStart"/>
      <w:r w:rsidR="00361383" w:rsidRPr="00361383">
        <w:rPr>
          <w:lang w:val="hr-HR"/>
        </w:rPr>
        <w:t>lettera</w:t>
      </w:r>
      <w:proofErr w:type="spellEnd"/>
      <w:r w:rsidR="00361383" w:rsidRPr="00361383">
        <w:rPr>
          <w:lang w:val="hr-HR"/>
        </w:rPr>
        <w:t xml:space="preserve"> ulagatelja informiraju ESG procese Društva; međutim, prava ulagatelja, obveze i aranžmani izvještavanja utvrđeni su u relevantnoj dokumentaciji fonda i nisu iscrpno ponovljeni na ovoj internetskoj stranici. </w:t>
      </w:r>
    </w:p>
    <w:p w14:paraId="0E8B9DFE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1D38BF7D" w14:textId="49975E3D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 xml:space="preserve">Invera trenutačno upravlja </w:t>
      </w:r>
      <w:r>
        <w:rPr>
          <w:lang w:val="hr-HR"/>
        </w:rPr>
        <w:t>s dva</w:t>
      </w:r>
      <w:r w:rsidRPr="00E815E1">
        <w:rPr>
          <w:lang w:val="hr-HR"/>
        </w:rPr>
        <w:t xml:space="preserve"> fond</w:t>
      </w:r>
      <w:r>
        <w:rPr>
          <w:lang w:val="hr-HR"/>
        </w:rPr>
        <w:t>a</w:t>
      </w:r>
      <w:r w:rsidRPr="00E815E1">
        <w:rPr>
          <w:lang w:val="hr-HR"/>
        </w:rPr>
        <w:t xml:space="preserve"> </w:t>
      </w:r>
      <w:r>
        <w:rPr>
          <w:lang w:val="hr-HR"/>
        </w:rPr>
        <w:t>privatnog</w:t>
      </w:r>
      <w:r w:rsidRPr="00E815E1">
        <w:rPr>
          <w:lang w:val="hr-HR"/>
        </w:rPr>
        <w:t xml:space="preserve"> kapitala:</w:t>
      </w:r>
    </w:p>
    <w:p w14:paraId="2516EA51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7B27D8F9" w14:textId="77777777" w:rsidR="00E815E1" w:rsidRPr="00E815E1" w:rsidRDefault="00E815E1" w:rsidP="00E815E1">
      <w:pPr>
        <w:pStyle w:val="BodyText"/>
        <w:numPr>
          <w:ilvl w:val="0"/>
          <w:numId w:val="1"/>
        </w:numPr>
        <w:ind w:left="426" w:hanging="426"/>
        <w:jc w:val="both"/>
        <w:rPr>
          <w:lang w:val="hr-HR"/>
        </w:rPr>
      </w:pPr>
      <w:r w:rsidRPr="00E815E1">
        <w:rPr>
          <w:lang w:val="hr-HR"/>
        </w:rPr>
        <w:t xml:space="preserve">Invera Private Equity </w:t>
      </w:r>
      <w:proofErr w:type="spellStart"/>
      <w:r w:rsidRPr="00E815E1">
        <w:rPr>
          <w:lang w:val="hr-HR"/>
        </w:rPr>
        <w:t>Fund</w:t>
      </w:r>
      <w:proofErr w:type="spellEnd"/>
      <w:r w:rsidRPr="00E815E1">
        <w:rPr>
          <w:lang w:val="hr-HR"/>
        </w:rPr>
        <w:t xml:space="preserve"> C.V. („Fond I”) klasificiran je kao financijski proizvod iz članka 6. SFDR-a, što znači da uključuje rizike održivosti u odluke o ulaganjima, pri čemu ne promiče okolišna ili socijalna obilježja i nema za cilj održivo ulaganje; i</w:t>
      </w:r>
    </w:p>
    <w:p w14:paraId="42BBC776" w14:textId="780CC9CE" w:rsidR="00E815E1" w:rsidRPr="00E815E1" w:rsidRDefault="00E815E1" w:rsidP="00E815E1">
      <w:pPr>
        <w:pStyle w:val="BodyText"/>
        <w:numPr>
          <w:ilvl w:val="0"/>
          <w:numId w:val="1"/>
        </w:numPr>
        <w:ind w:left="426" w:hanging="426"/>
        <w:jc w:val="both"/>
        <w:rPr>
          <w:lang w:val="hr-HR"/>
        </w:rPr>
      </w:pPr>
      <w:r w:rsidRPr="00E815E1">
        <w:rPr>
          <w:lang w:val="hr-HR"/>
        </w:rPr>
        <w:t xml:space="preserve">Invera Private Equity </w:t>
      </w:r>
      <w:proofErr w:type="spellStart"/>
      <w:r w:rsidRPr="00E815E1">
        <w:rPr>
          <w:lang w:val="hr-HR"/>
        </w:rPr>
        <w:t>Fund</w:t>
      </w:r>
      <w:proofErr w:type="spellEnd"/>
      <w:r w:rsidRPr="00E815E1">
        <w:rPr>
          <w:lang w:val="hr-HR"/>
        </w:rPr>
        <w:t xml:space="preserve"> II C.V. („Fond II”) novoosnovani je fond klasificiran kao financijski proizvod iz članka 8. SFDR-a. On promiče okolišna i socijalna obilježja, primjenjuje minimalne zaštitne mjere i uključuje </w:t>
      </w:r>
      <w:r>
        <w:rPr>
          <w:lang w:val="hr-HR"/>
        </w:rPr>
        <w:t>okolišne, društvene i upravljačke („</w:t>
      </w:r>
      <w:r w:rsidRPr="00E815E1">
        <w:rPr>
          <w:lang w:val="hr-HR"/>
        </w:rPr>
        <w:t>ESG</w:t>
      </w:r>
      <w:r>
        <w:rPr>
          <w:lang w:val="hr-HR"/>
        </w:rPr>
        <w:t>“)</w:t>
      </w:r>
      <w:r w:rsidRPr="00E815E1">
        <w:rPr>
          <w:lang w:val="hr-HR"/>
        </w:rPr>
        <w:t xml:space="preserve"> čimbenike u investicijski proces, u skladu s Politikom odgovornog ulaganja društva Invera i prilogom za predugovorne objave u skladu sa SFDR-om</w:t>
      </w:r>
      <w:r w:rsidR="00361383">
        <w:rPr>
          <w:lang w:val="hr-HR"/>
        </w:rPr>
        <w:t xml:space="preserve">. </w:t>
      </w:r>
      <w:r w:rsidR="00361383" w:rsidRPr="00361383">
        <w:rPr>
          <w:lang w:val="hr-HR"/>
        </w:rPr>
        <w:t xml:space="preserve">Kada je to relevantno, dodatne obveze povezane s održivošću sadržane u konstitutivnim dokumentima Fonda II i određenim </w:t>
      </w:r>
      <w:r w:rsidR="00361383">
        <w:rPr>
          <w:lang w:val="hr-HR"/>
        </w:rPr>
        <w:t>dopunskim ugovorima (</w:t>
      </w:r>
      <w:r w:rsidR="00361383" w:rsidRPr="00361383">
        <w:rPr>
          <w:lang w:val="hr-HR"/>
        </w:rPr>
        <w:t xml:space="preserve">side </w:t>
      </w:r>
      <w:proofErr w:type="spellStart"/>
      <w:r w:rsidR="00361383" w:rsidRPr="00361383">
        <w:rPr>
          <w:lang w:val="hr-HR"/>
        </w:rPr>
        <w:t>letterima</w:t>
      </w:r>
      <w:proofErr w:type="spellEnd"/>
      <w:r w:rsidR="00361383">
        <w:rPr>
          <w:lang w:val="hr-HR"/>
        </w:rPr>
        <w:t>)</w:t>
      </w:r>
      <w:r w:rsidR="00361383" w:rsidRPr="00361383">
        <w:rPr>
          <w:lang w:val="hr-HR"/>
        </w:rPr>
        <w:t xml:space="preserve"> ulagatelja također informiraju ESG proces koji se primjenjuje na Fond II</w:t>
      </w:r>
      <w:r w:rsidRPr="00E815E1">
        <w:rPr>
          <w:lang w:val="hr-HR"/>
        </w:rPr>
        <w:t xml:space="preserve">; </w:t>
      </w:r>
    </w:p>
    <w:p w14:paraId="38DFCF36" w14:textId="77777777" w:rsidR="00E815E1" w:rsidRPr="00E815E1" w:rsidRDefault="00E815E1" w:rsidP="00E815E1">
      <w:pPr>
        <w:pStyle w:val="BodyText"/>
        <w:ind w:left="720"/>
        <w:jc w:val="both"/>
        <w:rPr>
          <w:lang w:val="hr-HR"/>
        </w:rPr>
      </w:pPr>
    </w:p>
    <w:p w14:paraId="7D1D202F" w14:textId="77777777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 xml:space="preserve">zajedno, Fond I </w:t>
      </w:r>
      <w:proofErr w:type="spellStart"/>
      <w:r w:rsidRPr="00E815E1">
        <w:rPr>
          <w:lang w:val="hr-HR"/>
        </w:rPr>
        <w:t>i</w:t>
      </w:r>
      <w:proofErr w:type="spellEnd"/>
      <w:r w:rsidRPr="00E815E1">
        <w:rPr>
          <w:lang w:val="hr-HR"/>
        </w:rPr>
        <w:t xml:space="preserve"> Fond II čine proizvode („Proizvodi”) kojima Društvo upravlja. </w:t>
      </w:r>
    </w:p>
    <w:p w14:paraId="6168958C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043DFA0C" w14:textId="1D00EBD0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>Niže navedene objave uključuju i objave na razini subjekta koje se primjenjuju na Društvo i objave na razini proizvoda koje se primjenjuju na Fond I kao fond iz članka 6. te Fond II kao financijski proizvod iz članka 8. SFDR-a.</w:t>
      </w:r>
      <w:r w:rsidR="00361383">
        <w:rPr>
          <w:lang w:val="hr-HR"/>
        </w:rPr>
        <w:t xml:space="preserve"> </w:t>
      </w:r>
      <w:r w:rsidR="00361383" w:rsidRPr="00361383">
        <w:rPr>
          <w:lang w:val="hr-HR"/>
        </w:rPr>
        <w:t>Za Fond II ove objave na internetskim stranicama treba čitati zajedno s primjenjivim SFDR predugovornim objavama i svim periodičnim objavama koje se izrađuju u skladu s primjenjivim pravom.</w:t>
      </w:r>
    </w:p>
    <w:p w14:paraId="58AE5E32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34609B14" w14:textId="77777777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>Navedeni regulatorni zahtjevi imaju za cilj postići veću transparentnost u pogledu toga kako sudionici na financijskim tržištima uzimaju u obzir čimbenike održivosti pri donošenju poslovnih odluka i odluka o ulaganjima te kako se rizici održivosti uzimaju u obzir u njihovim poslovnim odlukama i odlukama o ulaganjima. Glavna je svrha ulagateljima pružiti bolji uvid i informacije o održivosti na jednostavan, usporediv i razumljiv način kako bi mogli donijeti odluku o ulaganju u određeni financijski proizvod.</w:t>
      </w:r>
    </w:p>
    <w:p w14:paraId="792A0BDB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5D15B63C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0F28CBA6" w14:textId="797FC538" w:rsidR="00CB511F" w:rsidRPr="00D90091" w:rsidRDefault="00CB511F" w:rsidP="00764EC2">
      <w:pPr>
        <w:pStyle w:val="BodyText"/>
        <w:jc w:val="both"/>
        <w:outlineLvl w:val="0"/>
        <w:rPr>
          <w:lang w:val="en-GB"/>
        </w:rPr>
      </w:pPr>
    </w:p>
    <w:sectPr w:rsidR="00CB511F" w:rsidRPr="00D90091" w:rsidSect="00D90091">
      <w:headerReference w:type="default" r:id="rId10"/>
      <w:footerReference w:type="even" r:id="rId11"/>
      <w:footerReference w:type="default" r:id="rId12"/>
      <w:pgSz w:w="11910" w:h="16840"/>
      <w:pgMar w:top="1843" w:right="1276" w:bottom="1276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610A8" w14:textId="77777777" w:rsidR="0078763D" w:rsidRDefault="0078763D" w:rsidP="00697D50">
      <w:r>
        <w:separator/>
      </w:r>
    </w:p>
  </w:endnote>
  <w:endnote w:type="continuationSeparator" w:id="0">
    <w:p w14:paraId="1A728CCB" w14:textId="77777777" w:rsidR="0078763D" w:rsidRDefault="0078763D" w:rsidP="00697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020978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78A6676" w14:textId="6E9B841E" w:rsidR="00DC6D28" w:rsidRDefault="00DC6D28" w:rsidP="00E11C7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9F0D790" w14:textId="77777777" w:rsidR="00DC6D28" w:rsidRDefault="00DC6D28" w:rsidP="00D9009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1"/>
        <w:szCs w:val="21"/>
      </w:rPr>
      <w:id w:val="8729659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13076A" w14:textId="34DDCD8C" w:rsidR="00DC6D28" w:rsidRPr="00D90091" w:rsidRDefault="00DC6D28" w:rsidP="00E11C78">
        <w:pPr>
          <w:pStyle w:val="Footer"/>
          <w:framePr w:wrap="none" w:vAnchor="text" w:hAnchor="margin" w:xAlign="right" w:y="1"/>
          <w:rPr>
            <w:rStyle w:val="PageNumber"/>
            <w:sz w:val="21"/>
            <w:szCs w:val="21"/>
          </w:rPr>
        </w:pPr>
        <w:r w:rsidRPr="00D90091">
          <w:rPr>
            <w:rStyle w:val="PageNumber"/>
            <w:sz w:val="21"/>
            <w:szCs w:val="21"/>
          </w:rPr>
          <w:fldChar w:fldCharType="begin"/>
        </w:r>
        <w:r w:rsidRPr="00D90091">
          <w:rPr>
            <w:rStyle w:val="PageNumber"/>
            <w:sz w:val="21"/>
            <w:szCs w:val="21"/>
          </w:rPr>
          <w:instrText xml:space="preserve"> PAGE </w:instrText>
        </w:r>
        <w:r w:rsidRPr="00D90091">
          <w:rPr>
            <w:rStyle w:val="PageNumber"/>
            <w:sz w:val="21"/>
            <w:szCs w:val="21"/>
          </w:rPr>
          <w:fldChar w:fldCharType="separate"/>
        </w:r>
        <w:r w:rsidRPr="00D90091">
          <w:rPr>
            <w:rStyle w:val="PageNumber"/>
            <w:noProof/>
            <w:sz w:val="21"/>
            <w:szCs w:val="21"/>
          </w:rPr>
          <w:t>5</w:t>
        </w:r>
        <w:r w:rsidRPr="00D90091">
          <w:rPr>
            <w:rStyle w:val="PageNumber"/>
            <w:sz w:val="21"/>
            <w:szCs w:val="21"/>
          </w:rPr>
          <w:fldChar w:fldCharType="end"/>
        </w:r>
      </w:p>
    </w:sdtContent>
  </w:sdt>
  <w:p w14:paraId="60CBFF6E" w14:textId="77777777" w:rsidR="00DC6D28" w:rsidRDefault="00DC6D28" w:rsidP="005A636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A6F88" w14:textId="77777777" w:rsidR="0078763D" w:rsidRDefault="0078763D" w:rsidP="00697D50">
      <w:r>
        <w:separator/>
      </w:r>
    </w:p>
  </w:footnote>
  <w:footnote w:type="continuationSeparator" w:id="0">
    <w:p w14:paraId="1A98F376" w14:textId="77777777" w:rsidR="0078763D" w:rsidRDefault="0078763D" w:rsidP="00697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0A2B" w14:textId="48969C82" w:rsidR="00697D50" w:rsidRDefault="00697D50">
    <w:pPr>
      <w:pStyle w:val="Header"/>
    </w:pPr>
    <w:r w:rsidRPr="00D90091">
      <w:rPr>
        <w:noProof/>
        <w:sz w:val="19"/>
        <w:lang w:val="en-GB"/>
      </w:rPr>
      <w:drawing>
        <wp:anchor distT="0" distB="0" distL="0" distR="0" simplePos="0" relativeHeight="251659264" behindDoc="0" locked="0" layoutInCell="1" allowOverlap="1" wp14:anchorId="54FEFD05" wp14:editId="553D81D5">
          <wp:simplePos x="0" y="0"/>
          <wp:positionH relativeFrom="page">
            <wp:posOffset>809625</wp:posOffset>
          </wp:positionH>
          <wp:positionV relativeFrom="paragraph">
            <wp:posOffset>0</wp:posOffset>
          </wp:positionV>
          <wp:extent cx="877146" cy="403013"/>
          <wp:effectExtent l="0" t="0" r="0" b="0"/>
          <wp:wrapNone/>
          <wp:docPr id="98695798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7146" cy="403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93B36"/>
    <w:multiLevelType w:val="hybridMultilevel"/>
    <w:tmpl w:val="2F8689D2"/>
    <w:lvl w:ilvl="0" w:tplc="080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" w15:restartNumberingAfterBreak="0">
    <w:nsid w:val="2BFA5317"/>
    <w:multiLevelType w:val="hybridMultilevel"/>
    <w:tmpl w:val="492EF87C"/>
    <w:lvl w:ilvl="0" w:tplc="DF0AFBE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7662DB"/>
    <w:multiLevelType w:val="hybridMultilevel"/>
    <w:tmpl w:val="4FE6B3DE"/>
    <w:lvl w:ilvl="0" w:tplc="AC388E58">
      <w:start w:val="1"/>
      <w:numFmt w:val="lowerRoman"/>
      <w:lvlText w:val="(%1)"/>
      <w:lvlJc w:val="left"/>
      <w:pPr>
        <w:ind w:left="8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6" w:hanging="360"/>
      </w:pPr>
    </w:lvl>
    <w:lvl w:ilvl="2" w:tplc="0809001B" w:tentative="1">
      <w:start w:val="1"/>
      <w:numFmt w:val="lowerRoman"/>
      <w:lvlText w:val="%3."/>
      <w:lvlJc w:val="right"/>
      <w:pPr>
        <w:ind w:left="2286" w:hanging="180"/>
      </w:pPr>
    </w:lvl>
    <w:lvl w:ilvl="3" w:tplc="0809000F" w:tentative="1">
      <w:start w:val="1"/>
      <w:numFmt w:val="decimal"/>
      <w:lvlText w:val="%4."/>
      <w:lvlJc w:val="left"/>
      <w:pPr>
        <w:ind w:left="3006" w:hanging="360"/>
      </w:pPr>
    </w:lvl>
    <w:lvl w:ilvl="4" w:tplc="08090019" w:tentative="1">
      <w:start w:val="1"/>
      <w:numFmt w:val="lowerLetter"/>
      <w:lvlText w:val="%5."/>
      <w:lvlJc w:val="left"/>
      <w:pPr>
        <w:ind w:left="3726" w:hanging="360"/>
      </w:pPr>
    </w:lvl>
    <w:lvl w:ilvl="5" w:tplc="0809001B" w:tentative="1">
      <w:start w:val="1"/>
      <w:numFmt w:val="lowerRoman"/>
      <w:lvlText w:val="%6."/>
      <w:lvlJc w:val="right"/>
      <w:pPr>
        <w:ind w:left="4446" w:hanging="180"/>
      </w:pPr>
    </w:lvl>
    <w:lvl w:ilvl="6" w:tplc="0809000F" w:tentative="1">
      <w:start w:val="1"/>
      <w:numFmt w:val="decimal"/>
      <w:lvlText w:val="%7."/>
      <w:lvlJc w:val="left"/>
      <w:pPr>
        <w:ind w:left="5166" w:hanging="360"/>
      </w:pPr>
    </w:lvl>
    <w:lvl w:ilvl="7" w:tplc="08090019" w:tentative="1">
      <w:start w:val="1"/>
      <w:numFmt w:val="lowerLetter"/>
      <w:lvlText w:val="%8."/>
      <w:lvlJc w:val="left"/>
      <w:pPr>
        <w:ind w:left="5886" w:hanging="360"/>
      </w:pPr>
    </w:lvl>
    <w:lvl w:ilvl="8" w:tplc="080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" w15:restartNumberingAfterBreak="0">
    <w:nsid w:val="5E634991"/>
    <w:multiLevelType w:val="hybridMultilevel"/>
    <w:tmpl w:val="E4A04C06"/>
    <w:lvl w:ilvl="0" w:tplc="89E0D8E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15A34"/>
    <w:multiLevelType w:val="hybridMultilevel"/>
    <w:tmpl w:val="7FCEA922"/>
    <w:lvl w:ilvl="0" w:tplc="AC388E5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709118">
    <w:abstractNumId w:val="2"/>
  </w:num>
  <w:num w:numId="2" w16cid:durableId="2112820414">
    <w:abstractNumId w:val="4"/>
  </w:num>
  <w:num w:numId="3" w16cid:durableId="721250407">
    <w:abstractNumId w:val="0"/>
  </w:num>
  <w:num w:numId="4" w16cid:durableId="62721854">
    <w:abstractNumId w:val="3"/>
  </w:num>
  <w:num w:numId="5" w16cid:durableId="1990285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4CF"/>
    <w:rsid w:val="000271CB"/>
    <w:rsid w:val="0003231D"/>
    <w:rsid w:val="000C544F"/>
    <w:rsid w:val="000E2D25"/>
    <w:rsid w:val="001E0AC7"/>
    <w:rsid w:val="0025584C"/>
    <w:rsid w:val="00343FFE"/>
    <w:rsid w:val="00361383"/>
    <w:rsid w:val="00480950"/>
    <w:rsid w:val="004830AC"/>
    <w:rsid w:val="004D58A3"/>
    <w:rsid w:val="00505257"/>
    <w:rsid w:val="005619DB"/>
    <w:rsid w:val="005A636A"/>
    <w:rsid w:val="005D7C21"/>
    <w:rsid w:val="0067676F"/>
    <w:rsid w:val="006900C1"/>
    <w:rsid w:val="00697D50"/>
    <w:rsid w:val="006A2D8C"/>
    <w:rsid w:val="00764EC2"/>
    <w:rsid w:val="0078763D"/>
    <w:rsid w:val="00834FBC"/>
    <w:rsid w:val="00844D0E"/>
    <w:rsid w:val="008646EE"/>
    <w:rsid w:val="00876B77"/>
    <w:rsid w:val="00886A40"/>
    <w:rsid w:val="008D1562"/>
    <w:rsid w:val="008E5B95"/>
    <w:rsid w:val="00930308"/>
    <w:rsid w:val="00941BA8"/>
    <w:rsid w:val="009D4941"/>
    <w:rsid w:val="00A03CC9"/>
    <w:rsid w:val="00A075BA"/>
    <w:rsid w:val="00A15096"/>
    <w:rsid w:val="00A764C0"/>
    <w:rsid w:val="00AA597D"/>
    <w:rsid w:val="00AB7811"/>
    <w:rsid w:val="00B022FC"/>
    <w:rsid w:val="00B07427"/>
    <w:rsid w:val="00B2576D"/>
    <w:rsid w:val="00B460F1"/>
    <w:rsid w:val="00B57BE7"/>
    <w:rsid w:val="00B71C43"/>
    <w:rsid w:val="00B7312F"/>
    <w:rsid w:val="00BA4D42"/>
    <w:rsid w:val="00BF7E4E"/>
    <w:rsid w:val="00C4054A"/>
    <w:rsid w:val="00CB511F"/>
    <w:rsid w:val="00CF64CF"/>
    <w:rsid w:val="00D90091"/>
    <w:rsid w:val="00DC6D28"/>
    <w:rsid w:val="00E301D1"/>
    <w:rsid w:val="00E815E1"/>
    <w:rsid w:val="00ED1395"/>
    <w:rsid w:val="00EF19FE"/>
    <w:rsid w:val="00EF76F5"/>
    <w:rsid w:val="00F16584"/>
    <w:rsid w:val="00F3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3385"/>
  <w15:docId w15:val="{5DAA03D4-D5CE-904C-A01D-8E641CCB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"/>
      <w:outlineLvl w:val="0"/>
    </w:pPr>
    <w:rPr>
      <w:b/>
      <w:bCs/>
      <w:sz w:val="25"/>
      <w:szCs w:val="25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1"/>
      <w:ind w:left="3"/>
      <w:jc w:val="center"/>
    </w:pPr>
    <w:rPr>
      <w:b/>
      <w:bCs/>
      <w:sz w:val="35"/>
      <w:szCs w:val="3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BF7E4E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697D5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7D5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97D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D50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C405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05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054A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54A"/>
    <w:rPr>
      <w:rFonts w:ascii="Calibri" w:eastAsia="Calibri" w:hAnsi="Calibri" w:cs="Calibri"/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DC6D28"/>
  </w:style>
  <w:style w:type="paragraph" w:customStyle="1" w:styleId="Heading1Custom">
    <w:name w:val="Heading 1 Custom"/>
    <w:basedOn w:val="Heading1"/>
    <w:qFormat/>
    <w:rsid w:val="00DC6D28"/>
    <w:pPr>
      <w:ind w:left="0"/>
      <w:jc w:val="both"/>
    </w:pPr>
    <w:rPr>
      <w:color w:val="1E3763"/>
      <w:u w:color="1E3763"/>
      <w:lang w:val="en-GB"/>
    </w:rPr>
  </w:style>
  <w:style w:type="paragraph" w:customStyle="1" w:styleId="Heading2Custom">
    <w:name w:val="Heading 2 Custom"/>
    <w:basedOn w:val="Heading1Custom"/>
    <w:qFormat/>
    <w:rsid w:val="00DC6D28"/>
    <w:rPr>
      <w:sz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572e73b3-11ff-42d7-9247-091d7aebb192" xsi:nil="true"/>
    <lcf76f155ced4ddcb4097134ff3c332f xmlns="d4c4f6c7-25a9-40cf-b347-0327acdd5ea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4F7DE2609A1E46857CDC2A7D8360C9" ma:contentTypeVersion="21" ma:contentTypeDescription="Create a new document." ma:contentTypeScope="" ma:versionID="9ec65eaf23c24a0465f0823def152cc8">
  <xsd:schema xmlns:xsd="http://www.w3.org/2001/XMLSchema" xmlns:xs="http://www.w3.org/2001/XMLSchema" xmlns:p="http://schemas.microsoft.com/office/2006/metadata/properties" xmlns:ns1="http://schemas.microsoft.com/sharepoint/v3" xmlns:ns2="d4c4f6c7-25a9-40cf-b347-0327acdd5ea8" xmlns:ns3="572e73b3-11ff-42d7-9247-091d7aebb192" targetNamespace="http://schemas.microsoft.com/office/2006/metadata/properties" ma:root="true" ma:fieldsID="8b7571208a787f543e5c8bd8d6d1af40" ns1:_="" ns2:_="" ns3:_="">
    <xsd:import namespace="http://schemas.microsoft.com/sharepoint/v3"/>
    <xsd:import namespace="d4c4f6c7-25a9-40cf-b347-0327acdd5ea8"/>
    <xsd:import namespace="572e73b3-11ff-42d7-9247-091d7aebb1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4f6c7-25a9-40cf-b347-0327acdd5e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fcb8bf1-9921-4fc9-9bf1-ae2f166e9d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e73b3-11ff-42d7-9247-091d7aebb19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e7a883f-a6bb-4a55-bcf3-2e122ab806c7}" ma:internalName="TaxCatchAll" ma:showField="CatchAllData" ma:web="572e73b3-11ff-42d7-9247-091d7aebb1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907508-A8A1-45A4-A69A-5504AA5CBC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72e73b3-11ff-42d7-9247-091d7aebb192"/>
    <ds:schemaRef ds:uri="d4c4f6c7-25a9-40cf-b347-0327acdd5ea8"/>
  </ds:schemaRefs>
</ds:datastoreItem>
</file>

<file path=customXml/itemProps2.xml><?xml version="1.0" encoding="utf-8"?>
<ds:datastoreItem xmlns:ds="http://schemas.openxmlformats.org/officeDocument/2006/customXml" ds:itemID="{17337FDB-7399-412E-B1B2-ED4298DFE8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47CE71-926F-4BE5-B4BB-6EE2612BF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c4f6c7-25a9-40cf-b347-0327acdd5ea8"/>
    <ds:schemaRef ds:uri="572e73b3-11ff-42d7-9247-091d7aebb1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Mirna Marovic</dc:creator>
  <cp:keywords/>
  <dc:description/>
  <cp:lastModifiedBy>Zrinka Vuković Berić</cp:lastModifiedBy>
  <cp:revision>2</cp:revision>
  <dcterms:created xsi:type="dcterms:W3CDTF">2026-07-21T14:00:00Z</dcterms:created>
  <dcterms:modified xsi:type="dcterms:W3CDTF">2026-07-21T14:00:00Z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2023-06-28T10:00:00Z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2025-07-21T10:00:00Z</vt:filetime>
  </property>
  <property fmtid="{D5CDD505-2E9C-101B-9397-08002B2CF9AE}" pid="5" name="Producer">
    <vt:lpwstr>Acrobat Distiller 23.0 (Windows)</vt:lpwstr>
  </property>
  <property fmtid="{D5CDD505-2E9C-101B-9397-08002B2CF9AE}" pid="6" name="ContentTypeId">
    <vt:lpwstr>0x010100444F7DE2609A1E46857CDC2A7D8360C9</vt:lpwstr>
  </property>
  <property fmtid="{D5CDD505-2E9C-101B-9397-08002B2CF9AE}" pid="7" name="MediaServiceImageTags">
    <vt:lpwstr/>
  </property>
  <property fmtid="{D5CDD505-2E9C-101B-9397-08002B2CF9AE}" pid="8" name="GrammarlyDocumentId">
    <vt:lpwstr>74e9cf53-5c09-4d5e-a134-5fbbab0c4a63</vt:lpwstr>
  </property>
</Properties>
</file>