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A4DC7" w14:textId="77777777" w:rsidR="00A15096" w:rsidRPr="00E815E1" w:rsidRDefault="00A15096">
      <w:pPr>
        <w:pStyle w:val="BodyText"/>
        <w:jc w:val="both"/>
        <w:rPr>
          <w:lang w:val="hr-HR"/>
        </w:rPr>
      </w:pPr>
    </w:p>
    <w:p w14:paraId="299BAC2F" w14:textId="69778B6A" w:rsidR="00E815E1" w:rsidRPr="00E815E1" w:rsidRDefault="00E815E1" w:rsidP="00E815E1">
      <w:pPr>
        <w:ind w:firstLine="193"/>
        <w:jc w:val="right"/>
        <w:rPr>
          <w:spacing w:val="-4"/>
          <w:sz w:val="21"/>
          <w:szCs w:val="21"/>
          <w:lang w:val="hr-HR"/>
        </w:rPr>
      </w:pPr>
      <w:r w:rsidRPr="00E815E1">
        <w:rPr>
          <w:lang w:val="hr-HR"/>
        </w:rPr>
        <w:t xml:space="preserve">Datum: </w:t>
      </w:r>
      <w:r w:rsidR="00B45B56">
        <w:rPr>
          <w:lang w:val="hr-HR"/>
        </w:rPr>
        <w:t>17</w:t>
      </w:r>
      <w:r w:rsidRPr="00E815E1">
        <w:rPr>
          <w:lang w:val="hr-HR"/>
        </w:rPr>
        <w:t>. travnja 2026.</w:t>
      </w:r>
    </w:p>
    <w:p w14:paraId="54295D9E" w14:textId="77777777" w:rsidR="00E815E1" w:rsidRPr="00E815E1" w:rsidRDefault="00E815E1" w:rsidP="00E815E1">
      <w:pPr>
        <w:jc w:val="both"/>
        <w:rPr>
          <w:sz w:val="21"/>
          <w:szCs w:val="21"/>
          <w:lang w:val="hr-HR"/>
        </w:rPr>
      </w:pPr>
    </w:p>
    <w:p w14:paraId="51F9485F" w14:textId="4726EA75" w:rsidR="00E815E1" w:rsidRPr="00E815E1" w:rsidRDefault="00E815E1" w:rsidP="00E815E1">
      <w:pPr>
        <w:jc w:val="both"/>
        <w:rPr>
          <w:lang w:val="hr-HR"/>
        </w:rPr>
      </w:pPr>
      <w:r w:rsidRPr="00E815E1">
        <w:rPr>
          <w:lang w:val="hr-HR"/>
        </w:rPr>
        <w:t>Ova objava na internetskim stranicama preispituje se najmanje jednom godišnje i ažurira u slučaju bitnih promjena (npr. pokretanja novog fonda, izmjena Uredbe (EU) 2019/2088 Europskog parlamenta i Vijeća od 27. studenoga 2019. o objavama povezanima s održivosti u sektoru financijskih usluga („SFDR”), Uredbe (EU) 2020/852 Europskog parlamenta i Vijeća od 18. lipnja 2020. o uspostavi okvira za olakšavanje održivih ulaganja i izmjeni Uredbe (EU) 2019/2088 („TR”),</w:t>
      </w:r>
      <w:r>
        <w:rPr>
          <w:lang w:val="hr-HR"/>
        </w:rPr>
        <w:t xml:space="preserve"> </w:t>
      </w:r>
      <w:r w:rsidRPr="00E815E1">
        <w:rPr>
          <w:lang w:val="hr-HR"/>
        </w:rPr>
        <w:t>Delegirane uredbe Komisije (EU) 2022/1288, оd 6. travnja 2022.</w:t>
      </w:r>
      <w:r>
        <w:rPr>
          <w:lang w:val="hr-HR"/>
        </w:rPr>
        <w:t xml:space="preserve"> </w:t>
      </w:r>
      <w:r w:rsidRPr="00E815E1">
        <w:rPr>
          <w:lang w:val="hr-HR"/>
        </w:rPr>
        <w:t>o dopuni Uredbe (EU) 2019/2088 Europskog parlamenta i Vijeća u pogledu regulatornih tehničkih standarda kojima se pobliže određuju sadržaj i prikaz informacija o načelu „ne nanosi bitnu štetu”, sadržaj, metodologije i prikaz informacija o pokazateljima održivosti i štetnim učincima na održivost te sadržaj i prikaz informacija o promicanju okolišnih ili socijalnih obilježja i ciljeva održivih ulaganja u predugovornoj dokumentaciji, na internetskim („RTS”), drugih primjenjivih regulatornih tehničkih standarda donesenih na temelju SFDR-a ili ažuriranja politika i postupaka Društva).</w:t>
      </w:r>
    </w:p>
    <w:p w14:paraId="635A3369" w14:textId="77777777" w:rsidR="00E815E1" w:rsidRPr="00E815E1" w:rsidRDefault="00E815E1" w:rsidP="00E815E1">
      <w:pPr>
        <w:jc w:val="both"/>
        <w:rPr>
          <w:sz w:val="21"/>
          <w:szCs w:val="21"/>
          <w:lang w:val="hr-HR"/>
        </w:rPr>
      </w:pPr>
    </w:p>
    <w:p w14:paraId="16732740" w14:textId="77777777" w:rsidR="00E815E1" w:rsidRPr="00E815E1" w:rsidRDefault="00E815E1" w:rsidP="00E815E1">
      <w:pPr>
        <w:pStyle w:val="BodyText"/>
        <w:jc w:val="both"/>
        <w:rPr>
          <w:lang w:val="hr-HR"/>
        </w:rPr>
      </w:pPr>
    </w:p>
    <w:p w14:paraId="5AB58F80" w14:textId="77777777" w:rsidR="00E815E1" w:rsidRPr="00E815E1" w:rsidRDefault="00E815E1" w:rsidP="00E815E1">
      <w:pPr>
        <w:pStyle w:val="Title"/>
        <w:spacing w:before="0"/>
        <w:ind w:left="0"/>
        <w:rPr>
          <w:color w:val="1E3763"/>
          <w:lang w:val="hr-HR"/>
        </w:rPr>
      </w:pPr>
      <w:r w:rsidRPr="00E815E1">
        <w:rPr>
          <w:color w:val="1E3763"/>
          <w:lang w:val="hr-HR"/>
        </w:rPr>
        <w:t>OBJAVE INFORMACIJA O ODRŽIVOSTI</w:t>
      </w:r>
    </w:p>
    <w:p w14:paraId="024F05C2" w14:textId="77777777" w:rsidR="00E815E1" w:rsidRPr="00E815E1" w:rsidRDefault="00E815E1" w:rsidP="00E815E1">
      <w:pPr>
        <w:pStyle w:val="BodyText"/>
        <w:jc w:val="both"/>
        <w:rPr>
          <w:lang w:val="hr-HR"/>
        </w:rPr>
      </w:pPr>
    </w:p>
    <w:p w14:paraId="2C9C984D" w14:textId="4FC323B2" w:rsidR="00E815E1" w:rsidRPr="00E815E1" w:rsidRDefault="00E815E1" w:rsidP="00E815E1">
      <w:pPr>
        <w:jc w:val="both"/>
        <w:rPr>
          <w:lang w:val="hr-HR"/>
        </w:rPr>
      </w:pPr>
      <w:r w:rsidRPr="00E815E1">
        <w:rPr>
          <w:lang w:val="hr-HR"/>
        </w:rPr>
        <w:t xml:space="preserve">Niže navedene informacije odnose se na aktivnosti i postupke povezane s </w:t>
      </w:r>
      <w:r w:rsidR="00361383">
        <w:rPr>
          <w:lang w:val="hr-HR"/>
        </w:rPr>
        <w:t>j</w:t>
      </w:r>
      <w:r w:rsidR="00361383" w:rsidRPr="00361383">
        <w:rPr>
          <w:lang w:val="hr-HR"/>
        </w:rPr>
        <w:t xml:space="preserve">avnim objavama društva Invera Equity Partners („Društvo”) na internetskim stranicama u skladu sa SFDR-om i TR-om. Dodatne obveze povezane s održivošću koje se primjenjuju na Fond II na temelju njegovih konstitutivnih dokumenata i relevantnih side lettera ulagatelja informiraju ESG procese Društva; međutim, prava ulagatelja, obveze i aranžmani izvještavanja utvrđeni su u relevantnoj dokumentaciji fonda i nisu iscrpno ponovljeni na ovoj internetskoj stranici. </w:t>
      </w:r>
    </w:p>
    <w:p w14:paraId="0E8B9DFE" w14:textId="77777777" w:rsidR="00E815E1" w:rsidRPr="00E815E1" w:rsidRDefault="00E815E1" w:rsidP="00E815E1">
      <w:pPr>
        <w:pStyle w:val="BodyText"/>
        <w:jc w:val="both"/>
        <w:rPr>
          <w:lang w:val="hr-HR"/>
        </w:rPr>
      </w:pPr>
    </w:p>
    <w:p w14:paraId="1D38BF7D" w14:textId="49975E3D" w:rsidR="00E815E1" w:rsidRPr="00E815E1" w:rsidRDefault="00E815E1" w:rsidP="00E815E1">
      <w:pPr>
        <w:pStyle w:val="BodyText"/>
        <w:jc w:val="both"/>
        <w:rPr>
          <w:lang w:val="hr-HR"/>
        </w:rPr>
      </w:pPr>
      <w:r w:rsidRPr="00E815E1">
        <w:rPr>
          <w:lang w:val="hr-HR"/>
        </w:rPr>
        <w:t xml:space="preserve">Invera trenutačno upravlja </w:t>
      </w:r>
      <w:r>
        <w:rPr>
          <w:lang w:val="hr-HR"/>
        </w:rPr>
        <w:t>s dva</w:t>
      </w:r>
      <w:r w:rsidRPr="00E815E1">
        <w:rPr>
          <w:lang w:val="hr-HR"/>
        </w:rPr>
        <w:t xml:space="preserve"> fond</w:t>
      </w:r>
      <w:r>
        <w:rPr>
          <w:lang w:val="hr-HR"/>
        </w:rPr>
        <w:t>a</w:t>
      </w:r>
      <w:r w:rsidRPr="00E815E1">
        <w:rPr>
          <w:lang w:val="hr-HR"/>
        </w:rPr>
        <w:t xml:space="preserve"> </w:t>
      </w:r>
      <w:r>
        <w:rPr>
          <w:lang w:val="hr-HR"/>
        </w:rPr>
        <w:t>privatnog</w:t>
      </w:r>
      <w:r w:rsidRPr="00E815E1">
        <w:rPr>
          <w:lang w:val="hr-HR"/>
        </w:rPr>
        <w:t xml:space="preserve"> kapitala:</w:t>
      </w:r>
    </w:p>
    <w:p w14:paraId="2516EA51" w14:textId="77777777" w:rsidR="00E815E1" w:rsidRPr="00E815E1" w:rsidRDefault="00E815E1" w:rsidP="00E815E1">
      <w:pPr>
        <w:pStyle w:val="BodyText"/>
        <w:jc w:val="both"/>
        <w:rPr>
          <w:lang w:val="hr-HR"/>
        </w:rPr>
      </w:pPr>
    </w:p>
    <w:p w14:paraId="7B27D8F9" w14:textId="77777777" w:rsidR="00E815E1" w:rsidRPr="00E815E1" w:rsidRDefault="00E815E1" w:rsidP="00E815E1">
      <w:pPr>
        <w:pStyle w:val="BodyText"/>
        <w:numPr>
          <w:ilvl w:val="0"/>
          <w:numId w:val="1"/>
        </w:numPr>
        <w:ind w:left="426" w:hanging="426"/>
        <w:jc w:val="both"/>
        <w:rPr>
          <w:lang w:val="hr-HR"/>
        </w:rPr>
      </w:pPr>
      <w:r w:rsidRPr="00E815E1">
        <w:rPr>
          <w:lang w:val="hr-HR"/>
        </w:rPr>
        <w:t>Invera Private Equity Fund C.V. („Fond I”) klasificiran je kao financijski proizvod iz članka 6. SFDR-a, što znači da uključuje rizike održivosti u odluke o ulaganjima, pri čemu ne promiče okolišna ili socijalna obilježja i nema za cilj održivo ulaganje; i</w:t>
      </w:r>
    </w:p>
    <w:p w14:paraId="42BBC776" w14:textId="780CC9CE" w:rsidR="00E815E1" w:rsidRPr="00E815E1" w:rsidRDefault="00E815E1" w:rsidP="00E815E1">
      <w:pPr>
        <w:pStyle w:val="BodyText"/>
        <w:numPr>
          <w:ilvl w:val="0"/>
          <w:numId w:val="1"/>
        </w:numPr>
        <w:ind w:left="426" w:hanging="426"/>
        <w:jc w:val="both"/>
        <w:rPr>
          <w:lang w:val="hr-HR"/>
        </w:rPr>
      </w:pPr>
      <w:r w:rsidRPr="00E815E1">
        <w:rPr>
          <w:lang w:val="hr-HR"/>
        </w:rPr>
        <w:t xml:space="preserve">Invera Private Equity Fund II C.V. („Fond II”) novoosnovani je fond klasificiran kao financijski proizvod iz članka 8. SFDR-a. On promiče okolišna i socijalna obilježja, primjenjuje minimalne zaštitne mjere i uključuje </w:t>
      </w:r>
      <w:r>
        <w:rPr>
          <w:lang w:val="hr-HR"/>
        </w:rPr>
        <w:t>okolišne, društvene i upravljačke („</w:t>
      </w:r>
      <w:r w:rsidRPr="00E815E1">
        <w:rPr>
          <w:lang w:val="hr-HR"/>
        </w:rPr>
        <w:t>ESG</w:t>
      </w:r>
      <w:r>
        <w:rPr>
          <w:lang w:val="hr-HR"/>
        </w:rPr>
        <w:t>“)</w:t>
      </w:r>
      <w:r w:rsidRPr="00E815E1">
        <w:rPr>
          <w:lang w:val="hr-HR"/>
        </w:rPr>
        <w:t xml:space="preserve"> čimbenike u investicijski proces, u skladu s Politikom odgovornog ulaganja društva Invera i prilogom za predugovorne objave u skladu sa SFDR-om</w:t>
      </w:r>
      <w:r w:rsidR="00361383">
        <w:rPr>
          <w:lang w:val="hr-HR"/>
        </w:rPr>
        <w:t xml:space="preserve">. </w:t>
      </w:r>
      <w:r w:rsidR="00361383" w:rsidRPr="00361383">
        <w:rPr>
          <w:lang w:val="hr-HR"/>
        </w:rPr>
        <w:t xml:space="preserve">Kada je to relevantno, dodatne obveze povezane s održivošću sadržane u konstitutivnim dokumentima Fonda II i određenim </w:t>
      </w:r>
      <w:r w:rsidR="00361383">
        <w:rPr>
          <w:lang w:val="hr-HR"/>
        </w:rPr>
        <w:t>dopunskim ugovorima (</w:t>
      </w:r>
      <w:r w:rsidR="00361383" w:rsidRPr="00361383">
        <w:rPr>
          <w:lang w:val="hr-HR"/>
        </w:rPr>
        <w:t>side letterima</w:t>
      </w:r>
      <w:r w:rsidR="00361383">
        <w:rPr>
          <w:lang w:val="hr-HR"/>
        </w:rPr>
        <w:t>)</w:t>
      </w:r>
      <w:r w:rsidR="00361383" w:rsidRPr="00361383">
        <w:rPr>
          <w:lang w:val="hr-HR"/>
        </w:rPr>
        <w:t xml:space="preserve"> ulagatelja također informiraju ESG proces koji se primjenjuje na Fond II</w:t>
      </w:r>
      <w:r w:rsidRPr="00E815E1">
        <w:rPr>
          <w:lang w:val="hr-HR"/>
        </w:rPr>
        <w:t xml:space="preserve">; </w:t>
      </w:r>
    </w:p>
    <w:p w14:paraId="38DFCF36" w14:textId="77777777" w:rsidR="00E815E1" w:rsidRPr="00E815E1" w:rsidRDefault="00E815E1" w:rsidP="00E815E1">
      <w:pPr>
        <w:pStyle w:val="BodyText"/>
        <w:ind w:left="720"/>
        <w:jc w:val="both"/>
        <w:rPr>
          <w:lang w:val="hr-HR"/>
        </w:rPr>
      </w:pPr>
    </w:p>
    <w:p w14:paraId="7D1D202F" w14:textId="77777777" w:rsidR="00E815E1" w:rsidRPr="00E815E1" w:rsidRDefault="00E815E1" w:rsidP="00E815E1">
      <w:pPr>
        <w:pStyle w:val="BodyText"/>
        <w:jc w:val="both"/>
        <w:rPr>
          <w:lang w:val="hr-HR"/>
        </w:rPr>
      </w:pPr>
      <w:r w:rsidRPr="00E815E1">
        <w:rPr>
          <w:lang w:val="hr-HR"/>
        </w:rPr>
        <w:t xml:space="preserve">zajedno, Fond I i Fond II čine proizvode („Proizvodi”) kojima Društvo upravlja. </w:t>
      </w:r>
    </w:p>
    <w:p w14:paraId="6168958C" w14:textId="77777777" w:rsidR="00E815E1" w:rsidRPr="00E815E1" w:rsidRDefault="00E815E1" w:rsidP="00E815E1">
      <w:pPr>
        <w:pStyle w:val="BodyText"/>
        <w:jc w:val="both"/>
        <w:rPr>
          <w:lang w:val="hr-HR"/>
        </w:rPr>
      </w:pPr>
    </w:p>
    <w:p w14:paraId="043DFA0C" w14:textId="1D00EBD0" w:rsidR="00E815E1" w:rsidRPr="00E815E1" w:rsidRDefault="00E815E1" w:rsidP="00E815E1">
      <w:pPr>
        <w:pStyle w:val="BodyText"/>
        <w:jc w:val="both"/>
        <w:rPr>
          <w:lang w:val="hr-HR"/>
        </w:rPr>
      </w:pPr>
      <w:r w:rsidRPr="00E815E1">
        <w:rPr>
          <w:lang w:val="hr-HR"/>
        </w:rPr>
        <w:t>Niže navedene objave uključuju i objave na razini subjekta koje se primjenjuju na Društvo i objave na razini proizvoda koje se primjenjuju na Fond I kao fond iz članka 6. te Fond II kao financijski proizvod iz članka 8. SFDR-a.</w:t>
      </w:r>
      <w:r w:rsidR="00361383">
        <w:rPr>
          <w:lang w:val="hr-HR"/>
        </w:rPr>
        <w:t xml:space="preserve"> </w:t>
      </w:r>
      <w:r w:rsidR="00361383" w:rsidRPr="00361383">
        <w:rPr>
          <w:lang w:val="hr-HR"/>
        </w:rPr>
        <w:t>Za Fond II ove objave na internetskim stranicama treba čitati zajedno s primjenjivim SFDR predugovornim objavama i svim periodičnim objavama koje se izrađuju u skladu s primjenjivim pravom.</w:t>
      </w:r>
    </w:p>
    <w:p w14:paraId="58AE5E32" w14:textId="77777777" w:rsidR="00E815E1" w:rsidRPr="00E815E1" w:rsidRDefault="00E815E1" w:rsidP="00E815E1">
      <w:pPr>
        <w:pStyle w:val="BodyText"/>
        <w:jc w:val="both"/>
        <w:rPr>
          <w:lang w:val="hr-HR"/>
        </w:rPr>
      </w:pPr>
    </w:p>
    <w:p w14:paraId="34609B14" w14:textId="77777777" w:rsidR="00E815E1" w:rsidRPr="00E815E1" w:rsidRDefault="00E815E1" w:rsidP="00E815E1">
      <w:pPr>
        <w:pStyle w:val="BodyText"/>
        <w:jc w:val="both"/>
        <w:rPr>
          <w:lang w:val="hr-HR"/>
        </w:rPr>
      </w:pPr>
      <w:r w:rsidRPr="00E815E1">
        <w:rPr>
          <w:lang w:val="hr-HR"/>
        </w:rPr>
        <w:t>Navedeni regulatorni zahtjevi imaju za cilj postići veću transparentnost u pogledu toga kako sudionici na financijskim tržištima uzimaju u obzir čimbenike održivosti pri donošenju poslovnih odluka i odluka o ulaganjima te kako se rizici održivosti uzimaju u obzir u njihovim poslovnim odlukama i odlukama o ulaganjima. Glavna je svrha ulagateljima pružiti bolji uvid i informacije o održivosti na jednostavan, usporediv i razumljiv način kako bi mogli donijeti odluku o ulaganju u određeni financijski proizvod.</w:t>
      </w:r>
    </w:p>
    <w:p w14:paraId="792A0BDB" w14:textId="77777777" w:rsidR="00E815E1" w:rsidRPr="00E815E1" w:rsidRDefault="00E815E1" w:rsidP="00E815E1">
      <w:pPr>
        <w:pStyle w:val="BodyText"/>
        <w:jc w:val="both"/>
        <w:rPr>
          <w:lang w:val="hr-HR"/>
        </w:rPr>
      </w:pPr>
    </w:p>
    <w:p w14:paraId="5D15B63C" w14:textId="77777777" w:rsidR="00E815E1" w:rsidRPr="00E815E1" w:rsidRDefault="00E815E1" w:rsidP="00E815E1">
      <w:pPr>
        <w:pStyle w:val="BodyText"/>
        <w:jc w:val="both"/>
        <w:rPr>
          <w:lang w:val="hr-HR"/>
        </w:rPr>
      </w:pPr>
    </w:p>
    <w:p w14:paraId="24FD085F" w14:textId="77777777" w:rsidR="00E815E1" w:rsidRPr="00E815E1" w:rsidRDefault="00E815E1" w:rsidP="00E815E1">
      <w:pPr>
        <w:pStyle w:val="Heading1"/>
        <w:ind w:left="0"/>
        <w:jc w:val="both"/>
        <w:rPr>
          <w:color w:val="1E3763"/>
          <w:spacing w:val="-2"/>
          <w:u w:color="1E3763"/>
          <w:lang w:val="hr-HR"/>
        </w:rPr>
      </w:pPr>
      <w:r w:rsidRPr="00E815E1">
        <w:rPr>
          <w:color w:val="1E3763"/>
          <w:lang w:val="hr-HR"/>
        </w:rPr>
        <w:lastRenderedPageBreak/>
        <w:t>Neuzimanje u obzir štetnih učinaka odluka o ulaganjima na čimbenike održivosti</w:t>
      </w:r>
    </w:p>
    <w:p w14:paraId="00E4B27B" w14:textId="77777777" w:rsidR="00E815E1" w:rsidRPr="00E815E1" w:rsidRDefault="00E815E1" w:rsidP="00E815E1">
      <w:pPr>
        <w:pStyle w:val="BodyText"/>
        <w:jc w:val="both"/>
        <w:rPr>
          <w:lang w:val="hr-HR"/>
        </w:rPr>
      </w:pPr>
    </w:p>
    <w:p w14:paraId="609FC005" w14:textId="5791C547" w:rsidR="00E815E1" w:rsidRPr="00E815E1" w:rsidRDefault="00E815E1" w:rsidP="00E815E1">
      <w:pPr>
        <w:pStyle w:val="BodyText"/>
        <w:jc w:val="both"/>
        <w:rPr>
          <w:lang w:val="hr-HR"/>
        </w:rPr>
      </w:pPr>
      <w:r w:rsidRPr="00E815E1">
        <w:rPr>
          <w:lang w:val="hr-HR"/>
        </w:rPr>
        <w:t>Na razini subjekta</w:t>
      </w:r>
      <w:r>
        <w:rPr>
          <w:lang w:val="hr-HR"/>
        </w:rPr>
        <w:t>, odnosno Društva,</w:t>
      </w:r>
      <w:r w:rsidRPr="00E815E1">
        <w:rPr>
          <w:lang w:val="hr-HR"/>
        </w:rPr>
        <w:t xml:space="preserve"> i u pogledu Fonda I, Društvo je odlučilo da ne uzima u obzir i ne namjerava uzimati u obzir glavne štetne učinke odluka o ulaganjima na čimbenike održivosti u skladu s člankom 4. stavkom 1. točkom (b) SFDR-a i člankom 12. RTS-a. </w:t>
      </w:r>
    </w:p>
    <w:p w14:paraId="6B966784" w14:textId="77777777" w:rsidR="00E815E1" w:rsidRPr="00E815E1" w:rsidRDefault="00E815E1" w:rsidP="00E815E1">
      <w:pPr>
        <w:pStyle w:val="BodyText"/>
        <w:jc w:val="both"/>
        <w:rPr>
          <w:lang w:val="hr-HR"/>
        </w:rPr>
      </w:pPr>
    </w:p>
    <w:p w14:paraId="040E273F" w14:textId="74D7E96A" w:rsidR="00E815E1" w:rsidRPr="00E815E1" w:rsidRDefault="00E815E1" w:rsidP="00E815E1">
      <w:pPr>
        <w:pStyle w:val="BodyText"/>
        <w:jc w:val="both"/>
        <w:rPr>
          <w:lang w:val="hr-HR"/>
        </w:rPr>
      </w:pPr>
      <w:r w:rsidRPr="00E815E1">
        <w:rPr>
          <w:lang w:val="hr-HR"/>
        </w:rPr>
        <w:t>Dodatno, Društvo je odlučilo da Fond II za potrebe SFDR-a ne uzima u obzir glavne štetne učinke odluka o ulaganjima na čimbenike održivosti. U okviru upravljanja ESG rizicim</w:t>
      </w:r>
      <w:r w:rsidR="00361383">
        <w:rPr>
          <w:lang w:val="hr-HR"/>
        </w:rPr>
        <w:t xml:space="preserve">a, </w:t>
      </w:r>
      <w:r w:rsidRPr="00E815E1">
        <w:rPr>
          <w:lang w:val="hr-HR"/>
        </w:rPr>
        <w:t>njihova praćenja</w:t>
      </w:r>
      <w:r w:rsidR="00361383">
        <w:rPr>
          <w:lang w:val="hr-HR"/>
        </w:rPr>
        <w:t xml:space="preserve"> </w:t>
      </w:r>
      <w:r w:rsidR="00361383" w:rsidRPr="00276D81">
        <w:rPr>
          <w:lang w:val="hr-HR"/>
        </w:rPr>
        <w:t xml:space="preserve"> </w:t>
      </w:r>
      <w:r w:rsidR="00361383" w:rsidRPr="00361383">
        <w:rPr>
          <w:lang w:val="hr-HR"/>
        </w:rPr>
        <w:t>i, kada je to relevantno, ugovornog ESG izvještavanja</w:t>
      </w:r>
      <w:r w:rsidRPr="00E815E1">
        <w:rPr>
          <w:lang w:val="hr-HR"/>
        </w:rPr>
        <w:t>, Fond II može na dobrovoljnoj, kvalitativnoj i nestandardiziranoj osnovi pratiti ograničen skup ESG pokazatelja koji odgovaraju određenim SFDR pokazateljima glavnih štetnih učinaka, u skladu sa SFDR predugovornim objavama i Politikom odgovornog ulaganja. Ti se pokazatelji koriste interno za potrebe upravljanja ESG rizicima i</w:t>
      </w:r>
      <w:r w:rsidR="00361383" w:rsidRPr="00361383">
        <w:rPr>
          <w:lang w:val="hr-HR"/>
        </w:rPr>
        <w:t>,</w:t>
      </w:r>
      <w:r w:rsidR="0060404D">
        <w:rPr>
          <w:lang w:val="hr-HR"/>
        </w:rPr>
        <w:t xml:space="preserve"> </w:t>
      </w:r>
      <w:r w:rsidR="00361383" w:rsidRPr="00361383">
        <w:rPr>
          <w:lang w:val="hr-HR"/>
        </w:rPr>
        <w:t xml:space="preserve">kada je to relevantno, za potrebe ugovornog </w:t>
      </w:r>
      <w:r w:rsidRPr="00E815E1">
        <w:rPr>
          <w:lang w:val="hr-HR"/>
        </w:rPr>
        <w:t>izvještavanja, ali ne predstavljaju formalno opredjeljenje u smislu članka 4. stavka 1. točke (a) SFDR-a.</w:t>
      </w:r>
    </w:p>
    <w:p w14:paraId="2E044BC4" w14:textId="77777777" w:rsidR="00E815E1" w:rsidRPr="00E815E1" w:rsidRDefault="00E815E1" w:rsidP="00E815E1">
      <w:pPr>
        <w:pStyle w:val="BodyText"/>
        <w:jc w:val="both"/>
        <w:rPr>
          <w:lang w:val="hr-HR"/>
        </w:rPr>
      </w:pPr>
    </w:p>
    <w:p w14:paraId="75DB7AA9" w14:textId="3FA4B649" w:rsidR="00E815E1" w:rsidRPr="00E815E1" w:rsidRDefault="00E815E1" w:rsidP="00E815E1">
      <w:pPr>
        <w:pStyle w:val="BodyText"/>
        <w:jc w:val="both"/>
        <w:rPr>
          <w:lang w:val="hr-HR"/>
        </w:rPr>
      </w:pPr>
      <w:r w:rsidRPr="00E815E1">
        <w:rPr>
          <w:lang w:val="hr-HR"/>
        </w:rPr>
        <w:t>Društvo je odlučilo da na razini subjekta ne uzima u obzir glavne štetne učinke odluka o ulaganjima na čimbenike održivosti zbog posebne naravi svojih aktivnosti. Društvo upravlja zatvorenim fondovima privatnog kapitala kojima je primarni cilj unaprijediti temeljne poslovne procese i financijsku uspješnost malih i srednjih poduzeća (MSP-ova), s namjerom izlaska iz tih ulaganja u kratkom do srednjoročnom razdoblju (od 1 do 5 godina). Na ovu odluku utječu i ograničena dostupnost i usporedivost podataka potrebnih za procjenu takvih učinaka na privatnim tržištima te proporcionalnost veličine i poslovanja Društva. Društvo će taj pristup periodično preispitivati</w:t>
      </w:r>
      <w:r w:rsidR="00361383">
        <w:rPr>
          <w:lang w:val="hr-HR"/>
        </w:rPr>
        <w:t xml:space="preserve">, </w:t>
      </w:r>
      <w:r w:rsidR="00361383" w:rsidRPr="00361383">
        <w:rPr>
          <w:lang w:val="hr-HR"/>
        </w:rPr>
        <w:t>uključujući u svjetlu regulatornog razvoja i razvoja vlastitih ESG procesa.</w:t>
      </w:r>
    </w:p>
    <w:p w14:paraId="7FFDAB23" w14:textId="77777777" w:rsidR="00E815E1" w:rsidRPr="00E815E1" w:rsidRDefault="00E815E1" w:rsidP="00E815E1">
      <w:pPr>
        <w:pStyle w:val="BodyText"/>
        <w:jc w:val="both"/>
        <w:rPr>
          <w:lang w:val="hr-HR"/>
        </w:rPr>
      </w:pPr>
    </w:p>
    <w:p w14:paraId="419B66C2" w14:textId="77777777" w:rsidR="00E815E1" w:rsidRPr="00E815E1" w:rsidRDefault="00E815E1" w:rsidP="00E815E1">
      <w:pPr>
        <w:pStyle w:val="BodyText"/>
        <w:jc w:val="both"/>
        <w:rPr>
          <w:lang w:val="hr-HR"/>
        </w:rPr>
      </w:pPr>
      <w:r w:rsidRPr="00E815E1">
        <w:rPr>
          <w:lang w:val="hr-HR"/>
        </w:rPr>
        <w:t>S obzirom na zatvorenu strukturu Fonda I, u kojoj nakon zatvaranja fonda nije dopušten ulazak novih ulagatelja, za potrebe SFDR-a ne postoji obveza predugovornih objava. Unatoč tome, Društvo uključuje rizike održivosti na razini fonda, kako je opisano u odjeljku „Transparentnost uključivanja rizika održivosti”.</w:t>
      </w:r>
    </w:p>
    <w:p w14:paraId="01C202DD" w14:textId="77777777" w:rsidR="00E815E1" w:rsidRPr="00E815E1" w:rsidRDefault="00E815E1" w:rsidP="00E815E1">
      <w:pPr>
        <w:pStyle w:val="BodyText"/>
        <w:jc w:val="both"/>
        <w:rPr>
          <w:lang w:val="hr-HR"/>
        </w:rPr>
      </w:pPr>
    </w:p>
    <w:p w14:paraId="0AF4785C" w14:textId="77777777" w:rsidR="00E815E1" w:rsidRPr="00E815E1" w:rsidRDefault="00E815E1" w:rsidP="00E815E1">
      <w:pPr>
        <w:pStyle w:val="Heading1"/>
        <w:ind w:left="0"/>
        <w:jc w:val="both"/>
        <w:rPr>
          <w:color w:val="1E3763"/>
          <w:spacing w:val="-2"/>
          <w:u w:color="1E3763"/>
          <w:lang w:val="hr-HR"/>
        </w:rPr>
      </w:pPr>
      <w:r w:rsidRPr="00E815E1">
        <w:rPr>
          <w:color w:val="1E3763"/>
          <w:lang w:val="hr-HR"/>
        </w:rPr>
        <w:t>Transparentnost uključivanja rizika održivosti</w:t>
      </w:r>
    </w:p>
    <w:p w14:paraId="5FBA0B02" w14:textId="77777777" w:rsidR="00E815E1" w:rsidRPr="00E815E1" w:rsidRDefault="00E815E1" w:rsidP="00E815E1">
      <w:pPr>
        <w:pStyle w:val="Heading1"/>
        <w:ind w:left="0"/>
        <w:jc w:val="both"/>
        <w:rPr>
          <w:u w:val="none"/>
          <w:lang w:val="hr-HR"/>
        </w:rPr>
      </w:pPr>
    </w:p>
    <w:p w14:paraId="7F45354A" w14:textId="77777777" w:rsidR="00E815E1" w:rsidRPr="00E815E1" w:rsidRDefault="00E815E1" w:rsidP="00E815E1">
      <w:pPr>
        <w:pStyle w:val="BodyText"/>
        <w:jc w:val="both"/>
        <w:rPr>
          <w:lang w:val="hr-HR"/>
        </w:rPr>
      </w:pPr>
      <w:r w:rsidRPr="00E815E1">
        <w:rPr>
          <w:lang w:val="hr-HR"/>
        </w:rPr>
        <w:t xml:space="preserve">U skladu s člankom 3. stavkom 1. SFDR-a, prema kojem je Društvo obvezno objaviti informacije o tome kako je rizik održivosti uključen u proces donošenja odluka o ulaganjima, Društvo definira ključna područja i poslovne procese unutar kojih se rizik održivosti utvrđuje i uključuje u odlučivanje i upravljanje rizicima. </w:t>
      </w:r>
    </w:p>
    <w:p w14:paraId="1D1A462E" w14:textId="77777777" w:rsidR="00E815E1" w:rsidRPr="00E815E1" w:rsidRDefault="00E815E1" w:rsidP="00E815E1">
      <w:pPr>
        <w:pStyle w:val="BodyText"/>
        <w:tabs>
          <w:tab w:val="left" w:pos="426"/>
        </w:tabs>
        <w:jc w:val="both"/>
        <w:rPr>
          <w:lang w:val="hr-HR"/>
        </w:rPr>
      </w:pPr>
    </w:p>
    <w:p w14:paraId="14031493" w14:textId="77777777" w:rsidR="00E815E1" w:rsidRPr="00E815E1" w:rsidRDefault="00E815E1" w:rsidP="00E815E1">
      <w:pPr>
        <w:pStyle w:val="BodyText"/>
        <w:jc w:val="both"/>
        <w:rPr>
          <w:lang w:val="hr-HR"/>
        </w:rPr>
      </w:pPr>
      <w:r w:rsidRPr="00E815E1">
        <w:rPr>
          <w:lang w:val="hr-HR"/>
        </w:rPr>
        <w:t>Društvo je uspostavilo odgovarajući sustav upravljanja rizicima koji, putem Politike upravljanja rizicima, uključuje rizik održivosti u poslovanje Društva i proces donošenja odluka o ulaganjima. Rizici održivosti podrazumijevaju okolišni, socijalni ili upravljački događaj ili uvjet koji bi, ako do njega dođe, mogao uzrokovati stvaran ili potencijalan negativan bitan učinak na vrijednost ulaganja.</w:t>
      </w:r>
    </w:p>
    <w:p w14:paraId="55391847" w14:textId="77777777" w:rsidR="00E815E1" w:rsidRPr="00E815E1" w:rsidRDefault="00E815E1" w:rsidP="00E815E1">
      <w:pPr>
        <w:pStyle w:val="BodyText"/>
        <w:jc w:val="both"/>
        <w:rPr>
          <w:lang w:val="hr-HR"/>
        </w:rPr>
      </w:pPr>
    </w:p>
    <w:p w14:paraId="0A654392" w14:textId="77777777" w:rsidR="00E815E1" w:rsidRPr="00E815E1" w:rsidRDefault="00E815E1" w:rsidP="00E815E1">
      <w:pPr>
        <w:pStyle w:val="BodyText"/>
        <w:jc w:val="both"/>
        <w:rPr>
          <w:lang w:val="hr-HR"/>
        </w:rPr>
      </w:pPr>
      <w:r w:rsidRPr="00E815E1">
        <w:rPr>
          <w:lang w:val="hr-HR"/>
        </w:rPr>
        <w:t>Ukupni nadzor nad ESG-om zadržavaju Upravljajući partneri, dok svakodnevnu provedbu ESG-a vodi ESG voditeljica Društva, koja koordinira uključivanje ESG-a u cijeli investicijski proces i praćenje portfelja, uz potporu vanjskih stručnjaka kada je to primjereno.</w:t>
      </w:r>
    </w:p>
    <w:p w14:paraId="69DE0177" w14:textId="77777777" w:rsidR="00E815E1" w:rsidRPr="00E815E1" w:rsidRDefault="00E815E1" w:rsidP="00E815E1">
      <w:pPr>
        <w:pStyle w:val="BodyText"/>
        <w:jc w:val="both"/>
        <w:rPr>
          <w:lang w:val="hr-HR"/>
        </w:rPr>
      </w:pPr>
    </w:p>
    <w:p w14:paraId="04EB32BD" w14:textId="77777777" w:rsidR="00E815E1" w:rsidRPr="00E815E1" w:rsidRDefault="00E815E1" w:rsidP="00E815E1">
      <w:pPr>
        <w:pStyle w:val="BodyText"/>
        <w:jc w:val="both"/>
        <w:rPr>
          <w:lang w:val="hr-HR"/>
        </w:rPr>
      </w:pPr>
      <w:r w:rsidRPr="00E815E1">
        <w:rPr>
          <w:lang w:val="hr-HR"/>
        </w:rPr>
        <w:t xml:space="preserve">Društvo upravlja dvama zatvorenim fondovima privatnog kapitala. Dok Fond I (klasificiran u skladu s člankom 6. SFDR-a) u svoj proces uključuje osnovne rizike održivosti, Fond II provodi sveobuhvatniju strategiju uključivanja ESG-a u skladu sa svojom klasifikacijom prema članku 8. SFDR-a. </w:t>
      </w:r>
    </w:p>
    <w:p w14:paraId="4E061D7A" w14:textId="77777777" w:rsidR="00E815E1" w:rsidRPr="00E815E1" w:rsidRDefault="00E815E1" w:rsidP="00E815E1">
      <w:pPr>
        <w:pStyle w:val="BodyText"/>
        <w:jc w:val="both"/>
        <w:rPr>
          <w:lang w:val="hr-HR"/>
        </w:rPr>
      </w:pPr>
    </w:p>
    <w:p w14:paraId="5BA5C096" w14:textId="77777777" w:rsidR="00E815E1" w:rsidRPr="00E815E1" w:rsidRDefault="00E815E1" w:rsidP="00E815E1">
      <w:pPr>
        <w:pStyle w:val="BodyText"/>
        <w:jc w:val="both"/>
        <w:rPr>
          <w:lang w:val="hr-HR"/>
        </w:rPr>
      </w:pPr>
      <w:r w:rsidRPr="00E815E1">
        <w:rPr>
          <w:lang w:val="hr-HR"/>
        </w:rPr>
        <w:t>Prilikom svake potencijalne investicije Fonda I, Društvo procjenjuje okolišni i socijalni rizik koristeći javno dostupni EBRD-ov Popis kategorizacije okolišnih i socijalnih rizika te primjenjuje isključenja na razini fonda i provjere radi izbjegavanja zabranjenih ili neprihvatljivih aktivnosti. Dodatno, Društvo ne ulaže u sektore i društva koja se bave aktivnostima utvrđenima kao neprihvatljive (npr. ugljen, nafta, opasne tvari, kockanje, oružje itd.), kako je navedeno u EBRD-ovu Popisu isključenja u području okoliša i socijalnih pitanja.</w:t>
      </w:r>
    </w:p>
    <w:p w14:paraId="00DA3095" w14:textId="77777777" w:rsidR="00E815E1" w:rsidRPr="00E815E1" w:rsidRDefault="00E815E1" w:rsidP="00E815E1">
      <w:pPr>
        <w:pStyle w:val="BodyText"/>
        <w:jc w:val="both"/>
        <w:rPr>
          <w:lang w:val="hr-HR"/>
        </w:rPr>
      </w:pPr>
    </w:p>
    <w:p w14:paraId="4D8681CB" w14:textId="77777777" w:rsidR="00E815E1" w:rsidRPr="00E815E1" w:rsidRDefault="00E815E1" w:rsidP="00E815E1">
      <w:pPr>
        <w:pStyle w:val="BodyText"/>
        <w:jc w:val="both"/>
        <w:rPr>
          <w:lang w:val="hr-HR"/>
        </w:rPr>
      </w:pPr>
      <w:r w:rsidRPr="00E815E1">
        <w:rPr>
          <w:lang w:val="hr-HR"/>
        </w:rPr>
        <w:t xml:space="preserve">Fond II promiče okolišna i socijalna obilježja ulaganjem u društva koja posluju odgovorno, smanjuju negativne </w:t>
      </w:r>
      <w:r w:rsidRPr="00E815E1">
        <w:rPr>
          <w:lang w:val="hr-HR"/>
        </w:rPr>
        <w:lastRenderedPageBreak/>
        <w:t>učinke i unapređuju ESG prakse tijekom investicijskog razdoblja. Ta obilježja, ovisno o primjenjivosti, uključuju veću resursnu učinkovitost, smanjenje emisija stakleničkih plinova, višu razinu zaštite zdravlja i sigurnosti na radu, dobre radne prakse, poslovni integritet i dobro upravljanje.</w:t>
      </w:r>
    </w:p>
    <w:p w14:paraId="3C2E3565" w14:textId="77777777" w:rsidR="00E815E1" w:rsidRPr="00E815E1" w:rsidRDefault="00E815E1" w:rsidP="00E815E1">
      <w:pPr>
        <w:pStyle w:val="BodyText"/>
        <w:jc w:val="both"/>
        <w:rPr>
          <w:lang w:val="hr-HR"/>
        </w:rPr>
      </w:pPr>
    </w:p>
    <w:p w14:paraId="53C3312B" w14:textId="3F576343" w:rsidR="00E815E1" w:rsidRPr="00E815E1" w:rsidRDefault="00E815E1" w:rsidP="00E815E1">
      <w:pPr>
        <w:pStyle w:val="BodyText"/>
        <w:jc w:val="both"/>
        <w:rPr>
          <w:lang w:val="hr-HR"/>
        </w:rPr>
      </w:pPr>
      <w:r w:rsidRPr="00E815E1">
        <w:rPr>
          <w:lang w:val="hr-HR"/>
        </w:rPr>
        <w:t xml:space="preserve">Fond II nema za cilj održivo ulaganje te se ne obvezuje na održiva ulaganja kako su definirana u članku 2. točki 17. SFDR-a. Ulaganja na kojima se temelji Fond II ne uzimaju u obzir kriterije EU-a za okolišno održive ekonomske djelatnosti u smislu TR-a. </w:t>
      </w:r>
      <w:r w:rsidR="00361383" w:rsidRPr="00361383">
        <w:rPr>
          <w:lang w:val="hr-HR"/>
        </w:rPr>
        <w:t>Slijedom toga, upućivanja u ovoj objavi na ulaganja klasificirana kao CA&amp;ES, provjere tipa DNSH, zelena ulaganja ili slične ulagatelju specifične okvire okolišnog probira ne treba tumačiti kao obvezu Fonda II na minimalni udio „održivih ulaganja” za potrebe SFDR-a niti na ulaganja usklađena s taksonomijom za potrebe TR-a.</w:t>
      </w:r>
    </w:p>
    <w:p w14:paraId="0242116C" w14:textId="77777777" w:rsidR="00E815E1" w:rsidRPr="00E815E1" w:rsidRDefault="00E815E1" w:rsidP="00E815E1">
      <w:pPr>
        <w:pStyle w:val="BodyText"/>
        <w:jc w:val="both"/>
        <w:rPr>
          <w:lang w:val="hr-HR"/>
        </w:rPr>
      </w:pPr>
    </w:p>
    <w:p w14:paraId="3BA304B2" w14:textId="77777777" w:rsidR="00E815E1" w:rsidRPr="00E815E1" w:rsidRDefault="00E815E1" w:rsidP="00E815E1">
      <w:pPr>
        <w:pStyle w:val="BodyText"/>
        <w:jc w:val="both"/>
        <w:rPr>
          <w:lang w:val="hr-HR"/>
        </w:rPr>
      </w:pPr>
      <w:r w:rsidRPr="00E815E1">
        <w:rPr>
          <w:lang w:val="hr-HR"/>
        </w:rPr>
        <w:t>Fond II primjenjuje dodatne zaštitne mjere u području održivosti, uključujući:</w:t>
      </w:r>
    </w:p>
    <w:p w14:paraId="77F7FDCD" w14:textId="07F48B65" w:rsidR="00E815E1" w:rsidRPr="00E815E1" w:rsidRDefault="00E815E1" w:rsidP="00E815E1">
      <w:pPr>
        <w:pStyle w:val="BodyText"/>
        <w:numPr>
          <w:ilvl w:val="0"/>
          <w:numId w:val="5"/>
        </w:numPr>
        <w:jc w:val="both"/>
        <w:rPr>
          <w:lang w:val="hr-HR"/>
        </w:rPr>
      </w:pPr>
      <w:r w:rsidRPr="00E815E1">
        <w:rPr>
          <w:lang w:val="hr-HR"/>
        </w:rPr>
        <w:t>Uspostavu i održavanje sustava upravljanja okolišnim i socijalnim pitanjima („ESMS”) razmjernog aktivnostima Fonda i usklađenog s primjenjivim zahtjevima EBRD-a, uključujući definirane uloge, postupke i vanjsku komunikaciju o okolišnim i socijalnim pitanjima</w:t>
      </w:r>
      <w:r w:rsidR="00361383">
        <w:rPr>
          <w:lang w:val="hr-HR"/>
        </w:rPr>
        <w:t xml:space="preserve">, </w:t>
      </w:r>
      <w:r w:rsidR="00361383" w:rsidRPr="00361383">
        <w:rPr>
          <w:lang w:val="hr-HR"/>
        </w:rPr>
        <w:t>kao i dodjelu odgovarajuće interne odgovornosti za provedbu ESG-a</w:t>
      </w:r>
      <w:r w:rsidRPr="00E815E1">
        <w:rPr>
          <w:lang w:val="hr-HR"/>
        </w:rPr>
        <w:t>;</w:t>
      </w:r>
    </w:p>
    <w:p w14:paraId="7FD089D8" w14:textId="1C90ACDB" w:rsidR="00E815E1" w:rsidRDefault="00E815E1" w:rsidP="00E815E1">
      <w:pPr>
        <w:pStyle w:val="BodyText"/>
        <w:numPr>
          <w:ilvl w:val="0"/>
          <w:numId w:val="5"/>
        </w:numPr>
        <w:jc w:val="both"/>
        <w:rPr>
          <w:lang w:val="hr-HR"/>
        </w:rPr>
      </w:pPr>
      <w:r w:rsidRPr="00E815E1">
        <w:rPr>
          <w:lang w:val="hr-HR"/>
        </w:rPr>
        <w:t>Provjeru u odnosu na EBRD-ove popise isključenja i popise isključenja Europskog investicijskog fonda („EIF”)</w:t>
      </w:r>
      <w:r w:rsidR="00361383">
        <w:rPr>
          <w:lang w:val="hr-HR"/>
        </w:rPr>
        <w:t xml:space="preserve">, </w:t>
      </w:r>
      <w:r w:rsidR="00361383" w:rsidRPr="00361383">
        <w:rPr>
          <w:lang w:val="hr-HR"/>
        </w:rPr>
        <w:t>e, kada je to relevantno, druge primjenjive ugovorne popise isključenja i ograničenja, uključujući provjeru u odnosu na EBRD-ov Popis neprihvatljivih subjekata</w:t>
      </w:r>
      <w:r w:rsidRPr="00E815E1">
        <w:rPr>
          <w:lang w:val="hr-HR"/>
        </w:rPr>
        <w:t>;</w:t>
      </w:r>
    </w:p>
    <w:p w14:paraId="36AB1513" w14:textId="2E5E5704" w:rsidR="00361383" w:rsidRPr="00361383" w:rsidRDefault="00361383" w:rsidP="00361383">
      <w:pPr>
        <w:pStyle w:val="BodyText"/>
        <w:numPr>
          <w:ilvl w:val="0"/>
          <w:numId w:val="5"/>
        </w:numPr>
        <w:jc w:val="both"/>
        <w:rPr>
          <w:lang w:val="hr-HR"/>
        </w:rPr>
      </w:pPr>
      <w:r w:rsidRPr="00361383">
        <w:rPr>
          <w:lang w:val="hr-HR"/>
        </w:rPr>
        <w:t>Transakcijski ESG probir i dubinsku analizu radi utvrđivanja, procjene, ublažavanja i praćenja materijalnih ESG rizika;</w:t>
      </w:r>
    </w:p>
    <w:p w14:paraId="45977545" w14:textId="5C543D30" w:rsidR="00361383" w:rsidRPr="00E815E1" w:rsidRDefault="00361383" w:rsidP="00361383">
      <w:pPr>
        <w:pStyle w:val="BodyText"/>
        <w:numPr>
          <w:ilvl w:val="0"/>
          <w:numId w:val="5"/>
        </w:numPr>
        <w:jc w:val="both"/>
        <w:rPr>
          <w:lang w:val="hr-HR"/>
        </w:rPr>
      </w:pPr>
      <w:r w:rsidRPr="00361383">
        <w:rPr>
          <w:lang w:val="hr-HR"/>
        </w:rPr>
        <w:t>Kada je to relevantno, provjeru usklađenosti s primjenjivim pravom EU-a i nacionalnim okolišnim propisima te dodatnu provjeru radi izbjegavanja nanošenja bitne štete okolišnim i/ili socijalnim čimbenicima, uključujući ugovorne procjene DNSH-a / provjere održivosti;</w:t>
      </w:r>
    </w:p>
    <w:p w14:paraId="3D9E8D6C" w14:textId="6AD85BA3" w:rsidR="00E815E1" w:rsidRPr="00E815E1" w:rsidRDefault="00E815E1" w:rsidP="00E815E1">
      <w:pPr>
        <w:pStyle w:val="BodyText"/>
        <w:numPr>
          <w:ilvl w:val="0"/>
          <w:numId w:val="5"/>
        </w:numPr>
        <w:jc w:val="both"/>
        <w:rPr>
          <w:lang w:val="hr-HR"/>
        </w:rPr>
      </w:pPr>
      <w:r w:rsidRPr="00E815E1">
        <w:rPr>
          <w:lang w:val="hr-HR"/>
        </w:rPr>
        <w:t>Poštovanje međunarodnih minimalnih zaštitnih mjera (Smjernice OECD-a, UNGP-ovi, temeljne konvencije MOR-a</w:t>
      </w:r>
      <w:r w:rsidR="00361383">
        <w:rPr>
          <w:lang w:val="hr-HR"/>
        </w:rPr>
        <w:t xml:space="preserve">, </w:t>
      </w:r>
      <w:r w:rsidR="00361383" w:rsidRPr="00361383">
        <w:rPr>
          <w:lang w:val="hr-HR"/>
        </w:rPr>
        <w:t>Međunarodn</w:t>
      </w:r>
      <w:r w:rsidR="00361383">
        <w:rPr>
          <w:lang w:val="hr-HR"/>
        </w:rPr>
        <w:t>e</w:t>
      </w:r>
      <w:r w:rsidR="00361383" w:rsidRPr="00361383">
        <w:rPr>
          <w:lang w:val="hr-HR"/>
        </w:rPr>
        <w:t xml:space="preserve"> povelj</w:t>
      </w:r>
      <w:r w:rsidR="00361383">
        <w:rPr>
          <w:lang w:val="hr-HR"/>
        </w:rPr>
        <w:t>e</w:t>
      </w:r>
      <w:r w:rsidR="00361383" w:rsidRPr="00361383">
        <w:rPr>
          <w:lang w:val="hr-HR"/>
        </w:rPr>
        <w:t xml:space="preserve"> o ljudskim pravima</w:t>
      </w:r>
      <w:r w:rsidRPr="00E815E1">
        <w:rPr>
          <w:lang w:val="hr-HR"/>
        </w:rPr>
        <w:t>);</w:t>
      </w:r>
    </w:p>
    <w:p w14:paraId="06A43557" w14:textId="21BCDD29" w:rsidR="00E815E1" w:rsidRPr="00E815E1" w:rsidRDefault="00E815E1" w:rsidP="00E815E1">
      <w:pPr>
        <w:pStyle w:val="BodyText"/>
        <w:numPr>
          <w:ilvl w:val="0"/>
          <w:numId w:val="5"/>
        </w:numPr>
        <w:jc w:val="both"/>
        <w:rPr>
          <w:lang w:val="hr-HR"/>
        </w:rPr>
      </w:pPr>
      <w:r w:rsidRPr="00E815E1">
        <w:rPr>
          <w:lang w:val="hr-HR"/>
        </w:rPr>
        <w:t>ESG kategorizaciju rizika u fazi prije ulaganja</w:t>
      </w:r>
      <w:r w:rsidR="00361383">
        <w:rPr>
          <w:lang w:val="hr-HR"/>
        </w:rPr>
        <w:t xml:space="preserve">, </w:t>
      </w:r>
      <w:r w:rsidR="00361383" w:rsidRPr="00361383">
        <w:rPr>
          <w:lang w:val="hr-HR"/>
        </w:rPr>
        <w:t>uz pojačani pregled za ulaganja višeg rizika kada je to relevantno</w:t>
      </w:r>
      <w:r w:rsidRPr="00E815E1">
        <w:rPr>
          <w:lang w:val="hr-HR"/>
        </w:rPr>
        <w:t>;</w:t>
      </w:r>
    </w:p>
    <w:p w14:paraId="649EFA8F" w14:textId="5D018AB6" w:rsidR="00E815E1" w:rsidRDefault="00E815E1" w:rsidP="00E815E1">
      <w:pPr>
        <w:pStyle w:val="BodyText"/>
        <w:numPr>
          <w:ilvl w:val="0"/>
          <w:numId w:val="5"/>
        </w:numPr>
        <w:jc w:val="both"/>
        <w:rPr>
          <w:lang w:val="hr-HR"/>
        </w:rPr>
      </w:pPr>
      <w:r w:rsidRPr="00E815E1">
        <w:rPr>
          <w:lang w:val="hr-HR"/>
        </w:rPr>
        <w:t xml:space="preserve">Praćenje ESG </w:t>
      </w:r>
      <w:r>
        <w:rPr>
          <w:lang w:val="hr-HR"/>
        </w:rPr>
        <w:t>ključnih pokazatelja („</w:t>
      </w:r>
      <w:r w:rsidRPr="00E815E1">
        <w:rPr>
          <w:lang w:val="hr-HR"/>
        </w:rPr>
        <w:t>KPI</w:t>
      </w:r>
      <w:r>
        <w:rPr>
          <w:lang w:val="hr-HR"/>
        </w:rPr>
        <w:t>“</w:t>
      </w:r>
      <w:r w:rsidRPr="00E815E1">
        <w:rPr>
          <w:lang w:val="hr-HR"/>
        </w:rPr>
        <w:t>-jeva</w:t>
      </w:r>
      <w:r>
        <w:rPr>
          <w:lang w:val="hr-HR"/>
        </w:rPr>
        <w:t xml:space="preserve">) </w:t>
      </w:r>
      <w:r w:rsidRPr="00E815E1">
        <w:rPr>
          <w:lang w:val="hr-HR"/>
        </w:rPr>
        <w:t xml:space="preserve">nakon ulaganja u skladu s predloškom Invest Europe ESG Reporting Template; </w:t>
      </w:r>
    </w:p>
    <w:p w14:paraId="5097CB33" w14:textId="3B7AC102" w:rsidR="00361383" w:rsidRPr="00E815E1" w:rsidRDefault="00361383" w:rsidP="00E815E1">
      <w:pPr>
        <w:pStyle w:val="BodyText"/>
        <w:numPr>
          <w:ilvl w:val="0"/>
          <w:numId w:val="5"/>
        </w:numPr>
        <w:jc w:val="both"/>
        <w:rPr>
          <w:lang w:val="hr-HR"/>
        </w:rPr>
      </w:pPr>
      <w:r w:rsidRPr="00361383">
        <w:rPr>
          <w:lang w:val="hr-HR"/>
        </w:rPr>
        <w:t>Ugovornu obvezu ulaganja iznosa koji je najmanje jednak 5 % ukupnog iznosa povučenih sredstava za ulaganja u portfeljna društva u ulaganja klasificirana kao ona koja doprinose najnovijim kriterijima EIF-a za klimatsko djelovanje i okolišnu održivost (CA&amp;ES), objavljenima na internetskim stranicama EIF-a i kako budu ažurirani s vremena na vrijeme;</w:t>
      </w:r>
    </w:p>
    <w:p w14:paraId="0E6158AD" w14:textId="77777777" w:rsidR="00361383" w:rsidRDefault="00E815E1" w:rsidP="00361383">
      <w:pPr>
        <w:pStyle w:val="BodyText"/>
        <w:numPr>
          <w:ilvl w:val="0"/>
          <w:numId w:val="5"/>
        </w:numPr>
        <w:jc w:val="both"/>
        <w:rPr>
          <w:lang w:val="hr-HR"/>
        </w:rPr>
      </w:pPr>
      <w:r w:rsidRPr="00E815E1">
        <w:rPr>
          <w:lang w:val="hr-HR"/>
        </w:rPr>
        <w:t>Na osnovi najboljih nastojanja, realizaciju i/ili identificiranje zelenih ulaganja u skladu s EBRD-ovom metodologijom / smjernicama za zeleno financiranje te, prema potrebi, godišnje praćenje i izvještavanje EBRD-a o povezanim okolišnim učincima</w:t>
      </w:r>
      <w:r w:rsidR="00361383">
        <w:rPr>
          <w:lang w:val="hr-HR"/>
        </w:rPr>
        <w:t xml:space="preserve">; </w:t>
      </w:r>
    </w:p>
    <w:p w14:paraId="1589CFD6" w14:textId="66FE0807" w:rsidR="00361383" w:rsidRPr="00361383" w:rsidRDefault="00361383" w:rsidP="00361383">
      <w:pPr>
        <w:pStyle w:val="BodyText"/>
        <w:numPr>
          <w:ilvl w:val="0"/>
          <w:numId w:val="5"/>
        </w:numPr>
        <w:jc w:val="both"/>
        <w:rPr>
          <w:lang w:val="hr-HR"/>
        </w:rPr>
      </w:pPr>
      <w:r w:rsidRPr="00361383">
        <w:rPr>
          <w:lang w:val="hr-HR"/>
        </w:rPr>
        <w:t>Na osnovi najboljih komercijalno razumnih nastojanja, nastojanje da investicijska strategija Fonda II bude usklađena s maksimalnim porastom temperature od 1,5 °C iznad predindustrijske razine i s klimatski otpornim razvojem u skladu s ciljevima Pariškog sporazuma; i</w:t>
      </w:r>
    </w:p>
    <w:p w14:paraId="73FD1B80" w14:textId="35CED054" w:rsidR="00E815E1" w:rsidRPr="00E815E1" w:rsidRDefault="00361383" w:rsidP="00361383">
      <w:pPr>
        <w:pStyle w:val="BodyText"/>
        <w:numPr>
          <w:ilvl w:val="0"/>
          <w:numId w:val="5"/>
        </w:numPr>
        <w:jc w:val="both"/>
        <w:rPr>
          <w:lang w:val="hr-HR"/>
        </w:rPr>
      </w:pPr>
      <w:r w:rsidRPr="00361383">
        <w:rPr>
          <w:lang w:val="hr-HR"/>
        </w:rPr>
        <w:t>Razmatranje, kada je to relevantno, vjerodostojnih mjera dekarbonizacije i/ili korektivnih mjera za ulaganja s povišenom okolišnom ili klimatskom relevantnošću te njihovo odražavanje u transakcijskoj dokumentaciji i praćenju nakon ulaganja.</w:t>
      </w:r>
    </w:p>
    <w:p w14:paraId="5014E07B" w14:textId="77777777" w:rsidR="00E815E1" w:rsidRPr="00E815E1" w:rsidRDefault="00E815E1" w:rsidP="00E815E1">
      <w:pPr>
        <w:pStyle w:val="BodyText"/>
        <w:jc w:val="both"/>
        <w:rPr>
          <w:lang w:val="hr-HR"/>
        </w:rPr>
      </w:pPr>
    </w:p>
    <w:p w14:paraId="4BF4A693" w14:textId="5A1AFD95" w:rsidR="00E815E1" w:rsidRPr="00E815E1" w:rsidRDefault="00E815E1" w:rsidP="00E815E1">
      <w:pPr>
        <w:pStyle w:val="BodyText"/>
        <w:jc w:val="both"/>
        <w:rPr>
          <w:lang w:val="hr-HR"/>
        </w:rPr>
      </w:pPr>
      <w:r w:rsidRPr="00E815E1">
        <w:rPr>
          <w:lang w:val="hr-HR"/>
        </w:rPr>
        <w:t>Fond II prati ESG rezultate tijekom razdoblja držanja ulaganja kroz periodičnu komunikaciju s portfeljnim društvima, pregled ESG KPI-jeva</w:t>
      </w:r>
      <w:r w:rsidR="00361383">
        <w:rPr>
          <w:lang w:val="hr-HR"/>
        </w:rPr>
        <w:t xml:space="preserve">, </w:t>
      </w:r>
      <w:r w:rsidR="00361383" w:rsidRPr="00361383">
        <w:rPr>
          <w:lang w:val="hr-HR"/>
        </w:rPr>
        <w:t>praćenje dogovorenih mjera ublažavanja / sanacije te</w:t>
      </w:r>
      <w:r w:rsidRPr="00E815E1">
        <w:rPr>
          <w:lang w:val="hr-HR"/>
        </w:rPr>
        <w:t xml:space="preserve"> eskalaciju u slučaju značajnih ESG incidenata. ESG podaci prvenstveno se temelje na izvještavanju portfeljnih društava, uz dopunu javnim i vanjskim izvorima. Zbog prirode ulaganja na privatnim tržištima, podaci mogu biti nepotpuni, temeljiti se na procjenama ili ne biti u potpunosti usporedivi. Fond II nastoji postupno poboljšavati kvalitetu ESG podataka aktivnim vlasništvom. </w:t>
      </w:r>
      <w:r w:rsidR="00361383" w:rsidRPr="00361383">
        <w:rPr>
          <w:lang w:val="hr-HR"/>
        </w:rPr>
        <w:t xml:space="preserve">Društvo također održava postupak javne objave i vanjske komunikacije o okolišnim i socijalnim pitanjima. </w:t>
      </w:r>
      <w:r w:rsidRPr="00E815E1">
        <w:rPr>
          <w:lang w:val="hr-HR"/>
        </w:rPr>
        <w:t>Za Fond II nije određena referentna vrijednost.</w:t>
      </w:r>
    </w:p>
    <w:p w14:paraId="03A731B8" w14:textId="77777777" w:rsidR="00E815E1" w:rsidRDefault="00E815E1" w:rsidP="00E815E1">
      <w:pPr>
        <w:pStyle w:val="BodyText"/>
        <w:jc w:val="both"/>
        <w:rPr>
          <w:lang w:val="hr-HR"/>
        </w:rPr>
      </w:pPr>
    </w:p>
    <w:p w14:paraId="487ECF97" w14:textId="77777777" w:rsidR="00361383" w:rsidRPr="00E815E1" w:rsidRDefault="00361383" w:rsidP="00E815E1">
      <w:pPr>
        <w:pStyle w:val="BodyText"/>
        <w:jc w:val="both"/>
        <w:rPr>
          <w:lang w:val="hr-HR"/>
        </w:rPr>
      </w:pPr>
    </w:p>
    <w:p w14:paraId="402B0AEE" w14:textId="77777777" w:rsidR="00E815E1" w:rsidRPr="00E815E1" w:rsidRDefault="00E815E1" w:rsidP="00E815E1">
      <w:pPr>
        <w:pStyle w:val="Heading1"/>
        <w:ind w:left="0"/>
        <w:jc w:val="both"/>
        <w:rPr>
          <w:color w:val="1E3763"/>
          <w:spacing w:val="-2"/>
          <w:u w:color="1E3763"/>
          <w:lang w:val="hr-HR"/>
        </w:rPr>
      </w:pPr>
      <w:r w:rsidRPr="00E815E1">
        <w:rPr>
          <w:color w:val="1E3763"/>
          <w:lang w:val="hr-HR"/>
        </w:rPr>
        <w:lastRenderedPageBreak/>
        <w:t>Transparentnost politika o isplaćivanju primitaka u vezi s uključivanjem rizika održivosti</w:t>
      </w:r>
    </w:p>
    <w:p w14:paraId="4E4F10F2" w14:textId="77777777" w:rsidR="00E815E1" w:rsidRPr="00E815E1" w:rsidRDefault="00E815E1" w:rsidP="00E815E1">
      <w:pPr>
        <w:pStyle w:val="Heading1"/>
        <w:ind w:left="0"/>
        <w:jc w:val="both"/>
        <w:rPr>
          <w:u w:val="none"/>
          <w:lang w:val="hr-HR"/>
        </w:rPr>
      </w:pPr>
    </w:p>
    <w:p w14:paraId="4A49EE81" w14:textId="77777777" w:rsidR="00E815E1" w:rsidRPr="00E815E1" w:rsidRDefault="00E815E1" w:rsidP="00E815E1">
      <w:pPr>
        <w:pStyle w:val="BodyText"/>
        <w:jc w:val="both"/>
        <w:rPr>
          <w:lang w:val="hr-HR"/>
        </w:rPr>
      </w:pPr>
      <w:r w:rsidRPr="00E815E1">
        <w:rPr>
          <w:lang w:val="hr-HR"/>
        </w:rPr>
        <w:t xml:space="preserve">U skladu s člankom 5. SFDR-a, prema kojem je Društvo obvezno objaviti informacije o tome kako su njegove politike o isplaćivanju primitaka usklađene s uključivanjem rizika održivosti, Društvo je donijelo internu Politiku primitaka koja je usklađena s poslovnom strategijom Društva i osmišljena tako da izbjegne poticaje za prekomjerno preuzimanje rizika, uključujući u pogledu rizika održivosti. </w:t>
      </w:r>
    </w:p>
    <w:p w14:paraId="114F957F" w14:textId="77777777" w:rsidR="00E815E1" w:rsidRPr="00E815E1" w:rsidRDefault="00E815E1" w:rsidP="00E815E1">
      <w:pPr>
        <w:pStyle w:val="BodyText"/>
        <w:jc w:val="both"/>
        <w:rPr>
          <w:lang w:val="hr-HR"/>
        </w:rPr>
      </w:pPr>
    </w:p>
    <w:p w14:paraId="3526D951" w14:textId="77777777" w:rsidR="00E815E1" w:rsidRPr="00E815E1" w:rsidRDefault="00E815E1" w:rsidP="00E815E1">
      <w:pPr>
        <w:pStyle w:val="BodyText"/>
        <w:jc w:val="both"/>
        <w:rPr>
          <w:lang w:val="hr-HR"/>
        </w:rPr>
      </w:pPr>
      <w:r w:rsidRPr="00E815E1">
        <w:rPr>
          <w:lang w:val="hr-HR"/>
        </w:rPr>
        <w:t>Razmatranja povezana s rizicima održivosti dio su širih procesa upravljanja rizicima Društva; međutim, Društvo trenutačno ne primjenjuje zaseban, kvantitativan pokazatelj primitaka povezan s održivošću. Ipak, za relevantno osoblje ocjena radne uspješnosti može uzimati u obzir kriterije povezane s ESG-om, uključujući usklađenost s ESG zahtjevima, upravljanje incidentima i doprinose stvaranju vrijednosti kroz ESG, kao dio šireg okvira ocjenjivanja Društva. Iako se politika primitaka jednako primjenjuje na oba fonda, unaprijeđeni proces uključivanja ESG-a u slučaju Fonda II znači da se rizici održivosti izričitije procjenjuju pri donošenju odluka o ulaganjima. Međutim, to ne predstavlja zaseban kvantitativan pokazatelj primitaka povezan s održivošću niti mijenja strukturu primitaka na način koji bi poticao prekomjerno preuzimanje rizika održivosti; naprotiv, cilj je uskladiti poticaje s razboritim upravljanjem rizicima i dugoročnim stvaranjem vrijednosti.</w:t>
      </w:r>
    </w:p>
    <w:p w14:paraId="2E6BCA66" w14:textId="77777777" w:rsidR="00E815E1" w:rsidRPr="00E815E1" w:rsidRDefault="00E815E1" w:rsidP="00E815E1">
      <w:pPr>
        <w:pStyle w:val="BodyText"/>
        <w:jc w:val="both"/>
        <w:rPr>
          <w:lang w:val="hr-HR"/>
        </w:rPr>
      </w:pPr>
    </w:p>
    <w:p w14:paraId="784079F3" w14:textId="77777777" w:rsidR="00E815E1" w:rsidRPr="00E815E1" w:rsidRDefault="00E815E1" w:rsidP="00E815E1">
      <w:pPr>
        <w:pStyle w:val="BodyText"/>
        <w:jc w:val="both"/>
        <w:rPr>
          <w:lang w:val="hr-HR"/>
        </w:rPr>
      </w:pPr>
    </w:p>
    <w:p w14:paraId="6AC23D2E" w14:textId="60CB9DD1" w:rsidR="00CB511F" w:rsidRPr="00276D81" w:rsidRDefault="00CB511F" w:rsidP="00D90091">
      <w:pPr>
        <w:pStyle w:val="BodyText"/>
        <w:jc w:val="both"/>
        <w:rPr>
          <w:lang w:val="hr-HR"/>
        </w:rPr>
      </w:pPr>
    </w:p>
    <w:p w14:paraId="0F28CBA6" w14:textId="797FC538" w:rsidR="00CB511F" w:rsidRPr="00276D81" w:rsidRDefault="00CB511F" w:rsidP="00D90091">
      <w:pPr>
        <w:pStyle w:val="BodyText"/>
        <w:jc w:val="both"/>
        <w:rPr>
          <w:lang w:val="hr-HR"/>
        </w:rPr>
      </w:pPr>
    </w:p>
    <w:sectPr w:rsidR="00CB511F" w:rsidRPr="00276D81" w:rsidSect="00D90091">
      <w:headerReference w:type="default" r:id="rId10"/>
      <w:footerReference w:type="even" r:id="rId11"/>
      <w:footerReference w:type="default" r:id="rId12"/>
      <w:pgSz w:w="11910" w:h="16840"/>
      <w:pgMar w:top="1843" w:right="1276" w:bottom="1276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BD00F" w14:textId="77777777" w:rsidR="002648D3" w:rsidRDefault="002648D3" w:rsidP="00697D50">
      <w:r>
        <w:separator/>
      </w:r>
    </w:p>
  </w:endnote>
  <w:endnote w:type="continuationSeparator" w:id="0">
    <w:p w14:paraId="082C38DE" w14:textId="77777777" w:rsidR="002648D3" w:rsidRDefault="002648D3" w:rsidP="00697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10209787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78A6676" w14:textId="6E9B841E" w:rsidR="00DC6D28" w:rsidRDefault="00DC6D28" w:rsidP="00E11C7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19F0D790" w14:textId="77777777" w:rsidR="00DC6D28" w:rsidRDefault="00DC6D28" w:rsidP="00D9009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 w:val="21"/>
        <w:szCs w:val="21"/>
      </w:rPr>
      <w:id w:val="87296591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D13076A" w14:textId="34DDCD8C" w:rsidR="00DC6D28" w:rsidRPr="00D90091" w:rsidRDefault="00DC6D28" w:rsidP="00E11C78">
        <w:pPr>
          <w:pStyle w:val="Footer"/>
          <w:framePr w:wrap="none" w:vAnchor="text" w:hAnchor="margin" w:xAlign="right" w:y="1"/>
          <w:rPr>
            <w:rStyle w:val="PageNumber"/>
            <w:sz w:val="21"/>
            <w:szCs w:val="21"/>
          </w:rPr>
        </w:pPr>
        <w:r w:rsidRPr="00D90091">
          <w:rPr>
            <w:rStyle w:val="PageNumber"/>
            <w:sz w:val="21"/>
            <w:szCs w:val="21"/>
          </w:rPr>
          <w:fldChar w:fldCharType="begin"/>
        </w:r>
        <w:r w:rsidRPr="00D90091">
          <w:rPr>
            <w:rStyle w:val="PageNumber"/>
            <w:sz w:val="21"/>
            <w:szCs w:val="21"/>
          </w:rPr>
          <w:instrText xml:space="preserve"> PAGE </w:instrText>
        </w:r>
        <w:r w:rsidRPr="00D90091">
          <w:rPr>
            <w:rStyle w:val="PageNumber"/>
            <w:sz w:val="21"/>
            <w:szCs w:val="21"/>
          </w:rPr>
          <w:fldChar w:fldCharType="separate"/>
        </w:r>
        <w:r w:rsidRPr="00D90091">
          <w:rPr>
            <w:rStyle w:val="PageNumber"/>
            <w:noProof/>
            <w:sz w:val="21"/>
            <w:szCs w:val="21"/>
          </w:rPr>
          <w:t>5</w:t>
        </w:r>
        <w:r w:rsidRPr="00D90091">
          <w:rPr>
            <w:rStyle w:val="PageNumber"/>
            <w:sz w:val="21"/>
            <w:szCs w:val="21"/>
          </w:rPr>
          <w:fldChar w:fldCharType="end"/>
        </w:r>
      </w:p>
    </w:sdtContent>
  </w:sdt>
  <w:p w14:paraId="60CBFF6E" w14:textId="77777777" w:rsidR="00DC6D28" w:rsidRDefault="00DC6D28" w:rsidP="00D9009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09AD2" w14:textId="77777777" w:rsidR="002648D3" w:rsidRDefault="002648D3" w:rsidP="00697D50">
      <w:r>
        <w:separator/>
      </w:r>
    </w:p>
  </w:footnote>
  <w:footnote w:type="continuationSeparator" w:id="0">
    <w:p w14:paraId="479325B3" w14:textId="77777777" w:rsidR="002648D3" w:rsidRDefault="002648D3" w:rsidP="00697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90A2B" w14:textId="48969C82" w:rsidR="00697D50" w:rsidRDefault="00697D50">
    <w:pPr>
      <w:pStyle w:val="Header"/>
    </w:pPr>
    <w:r w:rsidRPr="00D90091">
      <w:rPr>
        <w:noProof/>
        <w:sz w:val="19"/>
        <w:lang w:val="en-GB"/>
      </w:rPr>
      <w:drawing>
        <wp:anchor distT="0" distB="0" distL="0" distR="0" simplePos="0" relativeHeight="251659264" behindDoc="0" locked="0" layoutInCell="1" allowOverlap="1" wp14:anchorId="54FEFD05" wp14:editId="553D81D5">
          <wp:simplePos x="0" y="0"/>
          <wp:positionH relativeFrom="page">
            <wp:posOffset>809625</wp:posOffset>
          </wp:positionH>
          <wp:positionV relativeFrom="paragraph">
            <wp:posOffset>0</wp:posOffset>
          </wp:positionV>
          <wp:extent cx="877146" cy="403013"/>
          <wp:effectExtent l="0" t="0" r="0" b="0"/>
          <wp:wrapNone/>
          <wp:docPr id="986957988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7146" cy="4030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93B36"/>
    <w:multiLevelType w:val="hybridMultilevel"/>
    <w:tmpl w:val="2F8689D2"/>
    <w:lvl w:ilvl="0" w:tplc="0809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1" w15:restartNumberingAfterBreak="0">
    <w:nsid w:val="2BFA5317"/>
    <w:multiLevelType w:val="hybridMultilevel"/>
    <w:tmpl w:val="492EF87C"/>
    <w:lvl w:ilvl="0" w:tplc="DF0AFBEC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7662DB"/>
    <w:multiLevelType w:val="hybridMultilevel"/>
    <w:tmpl w:val="4FE6B3DE"/>
    <w:lvl w:ilvl="0" w:tplc="AC388E58">
      <w:start w:val="1"/>
      <w:numFmt w:val="lowerRoman"/>
      <w:lvlText w:val="(%1)"/>
      <w:lvlJc w:val="left"/>
      <w:pPr>
        <w:ind w:left="8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66" w:hanging="360"/>
      </w:pPr>
    </w:lvl>
    <w:lvl w:ilvl="2" w:tplc="0809001B" w:tentative="1">
      <w:start w:val="1"/>
      <w:numFmt w:val="lowerRoman"/>
      <w:lvlText w:val="%3."/>
      <w:lvlJc w:val="right"/>
      <w:pPr>
        <w:ind w:left="2286" w:hanging="180"/>
      </w:pPr>
    </w:lvl>
    <w:lvl w:ilvl="3" w:tplc="0809000F" w:tentative="1">
      <w:start w:val="1"/>
      <w:numFmt w:val="decimal"/>
      <w:lvlText w:val="%4."/>
      <w:lvlJc w:val="left"/>
      <w:pPr>
        <w:ind w:left="3006" w:hanging="360"/>
      </w:pPr>
    </w:lvl>
    <w:lvl w:ilvl="4" w:tplc="08090019" w:tentative="1">
      <w:start w:val="1"/>
      <w:numFmt w:val="lowerLetter"/>
      <w:lvlText w:val="%5."/>
      <w:lvlJc w:val="left"/>
      <w:pPr>
        <w:ind w:left="3726" w:hanging="360"/>
      </w:pPr>
    </w:lvl>
    <w:lvl w:ilvl="5" w:tplc="0809001B" w:tentative="1">
      <w:start w:val="1"/>
      <w:numFmt w:val="lowerRoman"/>
      <w:lvlText w:val="%6."/>
      <w:lvlJc w:val="right"/>
      <w:pPr>
        <w:ind w:left="4446" w:hanging="180"/>
      </w:pPr>
    </w:lvl>
    <w:lvl w:ilvl="6" w:tplc="0809000F" w:tentative="1">
      <w:start w:val="1"/>
      <w:numFmt w:val="decimal"/>
      <w:lvlText w:val="%7."/>
      <w:lvlJc w:val="left"/>
      <w:pPr>
        <w:ind w:left="5166" w:hanging="360"/>
      </w:pPr>
    </w:lvl>
    <w:lvl w:ilvl="7" w:tplc="08090019" w:tentative="1">
      <w:start w:val="1"/>
      <w:numFmt w:val="lowerLetter"/>
      <w:lvlText w:val="%8."/>
      <w:lvlJc w:val="left"/>
      <w:pPr>
        <w:ind w:left="5886" w:hanging="360"/>
      </w:pPr>
    </w:lvl>
    <w:lvl w:ilvl="8" w:tplc="080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3" w15:restartNumberingAfterBreak="0">
    <w:nsid w:val="5E634991"/>
    <w:multiLevelType w:val="hybridMultilevel"/>
    <w:tmpl w:val="E4A04C06"/>
    <w:lvl w:ilvl="0" w:tplc="89E0D8E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915A34"/>
    <w:multiLevelType w:val="hybridMultilevel"/>
    <w:tmpl w:val="7FCEA922"/>
    <w:lvl w:ilvl="0" w:tplc="AC388E58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8709118">
    <w:abstractNumId w:val="2"/>
  </w:num>
  <w:num w:numId="2" w16cid:durableId="2112820414">
    <w:abstractNumId w:val="4"/>
  </w:num>
  <w:num w:numId="3" w16cid:durableId="721250407">
    <w:abstractNumId w:val="0"/>
  </w:num>
  <w:num w:numId="4" w16cid:durableId="62721854">
    <w:abstractNumId w:val="3"/>
  </w:num>
  <w:num w:numId="5" w16cid:durableId="19902855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4CF"/>
    <w:rsid w:val="000271CB"/>
    <w:rsid w:val="0003231D"/>
    <w:rsid w:val="000C544F"/>
    <w:rsid w:val="000E2D25"/>
    <w:rsid w:val="001E0AC7"/>
    <w:rsid w:val="0025584C"/>
    <w:rsid w:val="002648D3"/>
    <w:rsid w:val="00276D81"/>
    <w:rsid w:val="00296C33"/>
    <w:rsid w:val="002B2D93"/>
    <w:rsid w:val="00343FFE"/>
    <w:rsid w:val="00361383"/>
    <w:rsid w:val="00480950"/>
    <w:rsid w:val="004D58A3"/>
    <w:rsid w:val="00505257"/>
    <w:rsid w:val="005619DB"/>
    <w:rsid w:val="005D7C21"/>
    <w:rsid w:val="0060404D"/>
    <w:rsid w:val="0067676F"/>
    <w:rsid w:val="006900C1"/>
    <w:rsid w:val="00697D50"/>
    <w:rsid w:val="006A2D8C"/>
    <w:rsid w:val="0071571B"/>
    <w:rsid w:val="0082207B"/>
    <w:rsid w:val="00834FBC"/>
    <w:rsid w:val="00876B77"/>
    <w:rsid w:val="00886A40"/>
    <w:rsid w:val="008D1562"/>
    <w:rsid w:val="008E5B95"/>
    <w:rsid w:val="00930308"/>
    <w:rsid w:val="00941BA8"/>
    <w:rsid w:val="009D4941"/>
    <w:rsid w:val="00A03CC9"/>
    <w:rsid w:val="00A075BA"/>
    <w:rsid w:val="00A15096"/>
    <w:rsid w:val="00A764C0"/>
    <w:rsid w:val="00AA597D"/>
    <w:rsid w:val="00B022FC"/>
    <w:rsid w:val="00B07427"/>
    <w:rsid w:val="00B2576D"/>
    <w:rsid w:val="00B45B56"/>
    <w:rsid w:val="00B460F1"/>
    <w:rsid w:val="00B71C43"/>
    <w:rsid w:val="00B7312F"/>
    <w:rsid w:val="00BA4D42"/>
    <w:rsid w:val="00BF7E4E"/>
    <w:rsid w:val="00C4054A"/>
    <w:rsid w:val="00CB511F"/>
    <w:rsid w:val="00CC7E3F"/>
    <w:rsid w:val="00CF64CF"/>
    <w:rsid w:val="00D90091"/>
    <w:rsid w:val="00DC6D28"/>
    <w:rsid w:val="00E815E1"/>
    <w:rsid w:val="00ED1395"/>
    <w:rsid w:val="00EF19FE"/>
    <w:rsid w:val="00EF76F5"/>
    <w:rsid w:val="00F16584"/>
    <w:rsid w:val="00F32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A3385"/>
  <w15:docId w15:val="{5DAA03D4-D5CE-904C-A01D-8E641CCB8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3"/>
      <w:outlineLvl w:val="0"/>
    </w:pPr>
    <w:rPr>
      <w:b/>
      <w:bCs/>
      <w:sz w:val="25"/>
      <w:szCs w:val="25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1"/>
      <w:ind w:left="3"/>
      <w:jc w:val="center"/>
    </w:pPr>
    <w:rPr>
      <w:b/>
      <w:bCs/>
      <w:sz w:val="35"/>
      <w:szCs w:val="3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BF7E4E"/>
    <w:pPr>
      <w:widowControl/>
      <w:autoSpaceDE/>
      <w:autoSpaceDN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697D5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7D5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97D5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7D50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C405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05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054A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05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054A"/>
    <w:rPr>
      <w:rFonts w:ascii="Calibri" w:eastAsia="Calibri" w:hAnsi="Calibri" w:cs="Calibri"/>
      <w:b/>
      <w:bCs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DC6D28"/>
  </w:style>
  <w:style w:type="paragraph" w:customStyle="1" w:styleId="Heading1Custom">
    <w:name w:val="Heading 1 Custom"/>
    <w:basedOn w:val="Heading1"/>
    <w:qFormat/>
    <w:rsid w:val="00DC6D28"/>
    <w:pPr>
      <w:ind w:left="0"/>
      <w:jc w:val="both"/>
    </w:pPr>
    <w:rPr>
      <w:color w:val="1E3763"/>
      <w:u w:color="1E3763"/>
      <w:lang w:val="en-GB"/>
    </w:rPr>
  </w:style>
  <w:style w:type="paragraph" w:customStyle="1" w:styleId="Heading2Custom">
    <w:name w:val="Heading 2 Custom"/>
    <w:basedOn w:val="Heading1Custom"/>
    <w:qFormat/>
    <w:rsid w:val="00DC6D28"/>
    <w:rPr>
      <w:sz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4F7DE2609A1E46857CDC2A7D8360C9" ma:contentTypeVersion="21" ma:contentTypeDescription="Create a new document." ma:contentTypeScope="" ma:versionID="9ec65eaf23c24a0465f0823def152cc8">
  <xsd:schema xmlns:xsd="http://www.w3.org/2001/XMLSchema" xmlns:xs="http://www.w3.org/2001/XMLSchema" xmlns:p="http://schemas.microsoft.com/office/2006/metadata/properties" xmlns:ns1="http://schemas.microsoft.com/sharepoint/v3" xmlns:ns2="d4c4f6c7-25a9-40cf-b347-0327acdd5ea8" xmlns:ns3="572e73b3-11ff-42d7-9247-091d7aebb192" targetNamespace="http://schemas.microsoft.com/office/2006/metadata/properties" ma:root="true" ma:fieldsID="8b7571208a787f543e5c8bd8d6d1af40" ns1:_="" ns2:_="" ns3:_="">
    <xsd:import namespace="http://schemas.microsoft.com/sharepoint/v3"/>
    <xsd:import namespace="d4c4f6c7-25a9-40cf-b347-0327acdd5ea8"/>
    <xsd:import namespace="572e73b3-11ff-42d7-9247-091d7aebb1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c4f6c7-25a9-40cf-b347-0327acdd5e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fcb8bf1-9921-4fc9-9bf1-ae2f166e9d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2e73b3-11ff-42d7-9247-091d7aebb19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e7a883f-a6bb-4a55-bcf3-2e122ab806c7}" ma:internalName="TaxCatchAll" ma:showField="CatchAllData" ma:web="572e73b3-11ff-42d7-9247-091d7aebb1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572e73b3-11ff-42d7-9247-091d7aebb192" xsi:nil="true"/>
    <lcf76f155ced4ddcb4097134ff3c332f xmlns="d4c4f6c7-25a9-40cf-b347-0327acdd5ea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7337FDB-7399-412E-B1B2-ED4298DFE8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47CE71-926F-4BE5-B4BB-6EE2612BF9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4c4f6c7-25a9-40cf-b347-0327acdd5ea8"/>
    <ds:schemaRef ds:uri="572e73b3-11ff-42d7-9247-091d7aebb1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907508-A8A1-45A4-A69A-5504AA5CBCF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72e73b3-11ff-42d7-9247-091d7aebb192"/>
    <ds:schemaRef ds:uri="d4c4f6c7-25a9-40cf-b347-0327acdd5ea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2001</Words>
  <Characters>11412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PAI statemet.docx</vt:lpstr>
    </vt:vector>
  </TitlesOfParts>
  <Manager/>
  <Company/>
  <LinksUpToDate>false</LinksUpToDate>
  <CharactersWithSpaces>13387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Mirna Marovic</dc:creator>
  <cp:keywords/>
  <dc:description/>
  <cp:lastModifiedBy>Zrinka Vuković Berić</cp:lastModifiedBy>
  <cp:revision>3</cp:revision>
  <dcterms:created xsi:type="dcterms:W3CDTF">2026-07-21T13:48:00Z</dcterms:created>
  <dcterms:modified xsi:type="dcterms:W3CDTF">2026-07-21T14:06:00Z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2023-06-28T10:00:00Z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2025-07-21T10:00:00Z</vt:filetime>
  </property>
  <property fmtid="{D5CDD505-2E9C-101B-9397-08002B2CF9AE}" pid="5" name="Producer">
    <vt:lpwstr>Acrobat Distiller 23.0 (Windows)</vt:lpwstr>
  </property>
  <property fmtid="{D5CDD505-2E9C-101B-9397-08002B2CF9AE}" pid="6" name="ContentTypeId">
    <vt:lpwstr>0x010100444F7DE2609A1E46857CDC2A7D8360C9</vt:lpwstr>
  </property>
  <property fmtid="{D5CDD505-2E9C-101B-9397-08002B2CF9AE}" pid="7" name="GrammarlyDocumentId">
    <vt:lpwstr>6b7bb189-7a20-495f-ab1b-670e0dac87e6</vt:lpwstr>
  </property>
  <property fmtid="{D5CDD505-2E9C-101B-9397-08002B2CF9AE}" pid="8" name="MediaServiceImageTags">
    <vt:lpwstr/>
  </property>
</Properties>
</file>