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0F1E" w14:textId="567369DB" w:rsidR="00CF64CF" w:rsidRPr="004D1C1B" w:rsidRDefault="00367AA2" w:rsidP="00D90091">
      <w:pPr>
        <w:ind w:firstLine="193"/>
        <w:jc w:val="right"/>
        <w:rPr>
          <w:spacing w:val="-4"/>
          <w:sz w:val="21"/>
          <w:szCs w:val="21"/>
          <w:lang w:val="en-GB"/>
        </w:rPr>
      </w:pPr>
      <w:r w:rsidRPr="004D1C1B">
        <w:rPr>
          <w:sz w:val="21"/>
          <w:szCs w:val="21"/>
          <w:lang w:val="en-GB"/>
        </w:rPr>
        <w:t>Date:</w:t>
      </w:r>
      <w:r w:rsidR="00DC6D28" w:rsidRPr="004D1C1B">
        <w:rPr>
          <w:spacing w:val="-4"/>
          <w:sz w:val="21"/>
          <w:szCs w:val="21"/>
          <w:lang w:val="en-GB"/>
        </w:rPr>
        <w:t xml:space="preserve"> </w:t>
      </w:r>
      <w:r w:rsidR="00224424">
        <w:rPr>
          <w:spacing w:val="-4"/>
          <w:sz w:val="21"/>
          <w:szCs w:val="21"/>
          <w:lang w:val="en-GB"/>
        </w:rPr>
        <w:t>17</w:t>
      </w:r>
      <w:r w:rsidR="00224424" w:rsidRPr="004D1C1B">
        <w:rPr>
          <w:spacing w:val="-4"/>
          <w:sz w:val="21"/>
          <w:szCs w:val="21"/>
          <w:lang w:val="en-GB"/>
        </w:rPr>
        <w:t xml:space="preserve"> </w:t>
      </w:r>
      <w:r w:rsidR="00A15096" w:rsidRPr="004D1C1B">
        <w:rPr>
          <w:spacing w:val="-4"/>
          <w:sz w:val="21"/>
          <w:szCs w:val="21"/>
          <w:lang w:val="en-GB"/>
        </w:rPr>
        <w:t>April</w:t>
      </w:r>
      <w:r w:rsidR="00DC6D28" w:rsidRPr="004D1C1B">
        <w:rPr>
          <w:spacing w:val="-4"/>
          <w:sz w:val="21"/>
          <w:szCs w:val="21"/>
          <w:lang w:val="en-GB"/>
        </w:rPr>
        <w:t xml:space="preserve"> 2026</w:t>
      </w:r>
    </w:p>
    <w:p w14:paraId="15F0CF19" w14:textId="77777777" w:rsidR="00697D50" w:rsidRPr="004D1C1B" w:rsidRDefault="00697D50" w:rsidP="00DC6D28">
      <w:pPr>
        <w:jc w:val="both"/>
        <w:rPr>
          <w:sz w:val="21"/>
          <w:szCs w:val="21"/>
          <w:lang w:val="en-GB"/>
        </w:rPr>
      </w:pPr>
    </w:p>
    <w:p w14:paraId="739D0D2F" w14:textId="77777777" w:rsidR="00CF64CF" w:rsidRPr="004D1C1B" w:rsidRDefault="00367AA2" w:rsidP="002F005F">
      <w:pPr>
        <w:pStyle w:val="Heading1"/>
        <w:ind w:left="0"/>
        <w:jc w:val="center"/>
        <w:rPr>
          <w:color w:val="1E3763"/>
          <w:spacing w:val="-2"/>
          <w:u w:color="1E3763"/>
          <w:lang w:val="en-GB"/>
        </w:rPr>
      </w:pPr>
      <w:r w:rsidRPr="004D1C1B">
        <w:rPr>
          <w:color w:val="1E3763"/>
          <w:u w:color="1E3763"/>
          <w:lang w:val="en-GB"/>
        </w:rPr>
        <w:t>Transparency</w:t>
      </w:r>
      <w:r w:rsidRPr="004D1C1B">
        <w:rPr>
          <w:color w:val="1E3763"/>
          <w:spacing w:val="-4"/>
          <w:u w:color="1E3763"/>
          <w:lang w:val="en-GB"/>
        </w:rPr>
        <w:t xml:space="preserve"> </w:t>
      </w:r>
      <w:r w:rsidRPr="004D1C1B">
        <w:rPr>
          <w:color w:val="1E3763"/>
          <w:u w:color="1E3763"/>
          <w:lang w:val="en-GB"/>
        </w:rPr>
        <w:t>of</w:t>
      </w:r>
      <w:r w:rsidRPr="004D1C1B">
        <w:rPr>
          <w:color w:val="1E3763"/>
          <w:spacing w:val="-4"/>
          <w:u w:color="1E3763"/>
          <w:lang w:val="en-GB"/>
        </w:rPr>
        <w:t xml:space="preserve"> </w:t>
      </w:r>
      <w:r w:rsidRPr="004D1C1B">
        <w:rPr>
          <w:color w:val="1E3763"/>
          <w:u w:color="1E3763"/>
          <w:lang w:val="en-GB"/>
        </w:rPr>
        <w:t>the</w:t>
      </w:r>
      <w:r w:rsidRPr="004D1C1B">
        <w:rPr>
          <w:color w:val="1E3763"/>
          <w:spacing w:val="-4"/>
          <w:u w:color="1E3763"/>
          <w:lang w:val="en-GB"/>
        </w:rPr>
        <w:t xml:space="preserve"> </w:t>
      </w:r>
      <w:r w:rsidRPr="004D1C1B">
        <w:rPr>
          <w:color w:val="1E3763"/>
          <w:u w:color="1E3763"/>
          <w:lang w:val="en-GB"/>
        </w:rPr>
        <w:t>integration</w:t>
      </w:r>
      <w:r w:rsidRPr="004D1C1B">
        <w:rPr>
          <w:color w:val="1E3763"/>
          <w:spacing w:val="-3"/>
          <w:u w:color="1E3763"/>
          <w:lang w:val="en-GB"/>
        </w:rPr>
        <w:t xml:space="preserve"> </w:t>
      </w:r>
      <w:r w:rsidRPr="004D1C1B">
        <w:rPr>
          <w:color w:val="1E3763"/>
          <w:u w:color="1E3763"/>
          <w:lang w:val="en-GB"/>
        </w:rPr>
        <w:t>of</w:t>
      </w:r>
      <w:r w:rsidRPr="004D1C1B">
        <w:rPr>
          <w:color w:val="1E3763"/>
          <w:spacing w:val="-4"/>
          <w:u w:color="1E3763"/>
          <w:lang w:val="en-GB"/>
        </w:rPr>
        <w:t xml:space="preserve"> </w:t>
      </w:r>
      <w:r w:rsidRPr="004D1C1B">
        <w:rPr>
          <w:color w:val="1E3763"/>
          <w:u w:color="1E3763"/>
          <w:lang w:val="en-GB"/>
        </w:rPr>
        <w:t>sustainability</w:t>
      </w:r>
      <w:r w:rsidRPr="004D1C1B">
        <w:rPr>
          <w:color w:val="1E3763"/>
          <w:spacing w:val="-4"/>
          <w:u w:color="1E3763"/>
          <w:lang w:val="en-GB"/>
        </w:rPr>
        <w:t xml:space="preserve"> </w:t>
      </w:r>
      <w:r w:rsidRPr="004D1C1B">
        <w:rPr>
          <w:color w:val="1E3763"/>
          <w:spacing w:val="-2"/>
          <w:u w:color="1E3763"/>
          <w:lang w:val="en-GB"/>
        </w:rPr>
        <w:t>risks</w:t>
      </w:r>
    </w:p>
    <w:p w14:paraId="51DDC273" w14:textId="77777777" w:rsidR="006900C1" w:rsidRPr="004D1C1B" w:rsidRDefault="006900C1" w:rsidP="00D90091">
      <w:pPr>
        <w:pStyle w:val="Heading1"/>
        <w:ind w:left="0"/>
        <w:jc w:val="both"/>
        <w:rPr>
          <w:u w:val="none"/>
          <w:lang w:val="en-GB"/>
        </w:rPr>
      </w:pPr>
    </w:p>
    <w:p w14:paraId="55D8DAC2" w14:textId="78D5E29A" w:rsidR="00CF64CF" w:rsidRPr="004D1C1B" w:rsidRDefault="00367AA2" w:rsidP="00D90091">
      <w:pPr>
        <w:pStyle w:val="BodyText"/>
        <w:jc w:val="both"/>
        <w:rPr>
          <w:lang w:val="en-GB"/>
        </w:rPr>
      </w:pPr>
      <w:r w:rsidRPr="004D1C1B">
        <w:rPr>
          <w:lang w:val="en-GB"/>
        </w:rPr>
        <w:t xml:space="preserve">Pursuant to Article </w:t>
      </w:r>
      <w:r w:rsidR="004D1C1B" w:rsidRPr="004D1C1B">
        <w:rPr>
          <w:lang w:val="en-GB"/>
        </w:rPr>
        <w:t>3(</w:t>
      </w:r>
      <w:r w:rsidRPr="004D1C1B">
        <w:rPr>
          <w:lang w:val="en-GB"/>
        </w:rPr>
        <w:t>1</w:t>
      </w:r>
      <w:r w:rsidR="004D1C1B" w:rsidRPr="004D1C1B">
        <w:rPr>
          <w:lang w:val="en-GB"/>
        </w:rPr>
        <w:t>)</w:t>
      </w:r>
      <w:r w:rsidRPr="004D1C1B">
        <w:rPr>
          <w:lang w:val="en-GB"/>
        </w:rPr>
        <w:t xml:space="preserve"> of</w:t>
      </w:r>
      <w:r w:rsidR="00A15096" w:rsidRPr="004D1C1B">
        <w:rPr>
          <w:lang w:val="en-GB"/>
        </w:rPr>
        <w:t xml:space="preserve"> the SFDR</w:t>
      </w:r>
      <w:r w:rsidRPr="004D1C1B">
        <w:rPr>
          <w:lang w:val="en-GB"/>
        </w:rPr>
        <w:t xml:space="preserve">, </w:t>
      </w:r>
      <w:r w:rsidR="00A15096" w:rsidRPr="004D1C1B">
        <w:rPr>
          <w:lang w:val="en-GB"/>
        </w:rPr>
        <w:t xml:space="preserve">under </w:t>
      </w:r>
      <w:r w:rsidRPr="004D1C1B">
        <w:rPr>
          <w:lang w:val="en-GB"/>
        </w:rPr>
        <w:t>which</w:t>
      </w:r>
      <w:r w:rsidRPr="004D1C1B">
        <w:rPr>
          <w:spacing w:val="35"/>
          <w:lang w:val="en-GB"/>
        </w:rPr>
        <w:t xml:space="preserve"> </w:t>
      </w:r>
      <w:r w:rsidRPr="004D1C1B">
        <w:rPr>
          <w:lang w:val="en-GB"/>
        </w:rPr>
        <w:t>the</w:t>
      </w:r>
      <w:r w:rsidRPr="004D1C1B">
        <w:rPr>
          <w:spacing w:val="36"/>
          <w:lang w:val="en-GB"/>
        </w:rPr>
        <w:t xml:space="preserve"> </w:t>
      </w:r>
      <w:r w:rsidR="00B2576D" w:rsidRPr="004D1C1B">
        <w:rPr>
          <w:lang w:val="en-GB"/>
        </w:rPr>
        <w:t>Firm</w:t>
      </w:r>
      <w:r w:rsidRPr="004D1C1B">
        <w:rPr>
          <w:spacing w:val="34"/>
          <w:lang w:val="en-GB"/>
        </w:rPr>
        <w:t xml:space="preserve"> </w:t>
      </w:r>
      <w:r w:rsidRPr="004D1C1B">
        <w:rPr>
          <w:lang w:val="en-GB"/>
        </w:rPr>
        <w:t>is obliged</w:t>
      </w:r>
      <w:r w:rsidRPr="004D1C1B">
        <w:rPr>
          <w:spacing w:val="22"/>
          <w:lang w:val="en-GB"/>
        </w:rPr>
        <w:t xml:space="preserve"> </w:t>
      </w:r>
      <w:r w:rsidRPr="004D1C1B">
        <w:rPr>
          <w:lang w:val="en-GB"/>
        </w:rPr>
        <w:t>to</w:t>
      </w:r>
      <w:r w:rsidRPr="004D1C1B">
        <w:rPr>
          <w:spacing w:val="18"/>
          <w:lang w:val="en-GB"/>
        </w:rPr>
        <w:t xml:space="preserve"> </w:t>
      </w:r>
      <w:r w:rsidRPr="004D1C1B">
        <w:rPr>
          <w:lang w:val="en-GB"/>
        </w:rPr>
        <w:t>publish</w:t>
      </w:r>
      <w:r w:rsidRPr="004D1C1B">
        <w:rPr>
          <w:spacing w:val="21"/>
          <w:lang w:val="en-GB"/>
        </w:rPr>
        <w:t xml:space="preserve"> </w:t>
      </w:r>
      <w:r w:rsidRPr="004D1C1B">
        <w:rPr>
          <w:lang w:val="en-GB"/>
        </w:rPr>
        <w:t>information</w:t>
      </w:r>
      <w:r w:rsidRPr="004D1C1B">
        <w:rPr>
          <w:spacing w:val="20"/>
          <w:lang w:val="en-GB"/>
        </w:rPr>
        <w:t xml:space="preserve"> </w:t>
      </w:r>
      <w:r w:rsidRPr="004D1C1B">
        <w:rPr>
          <w:lang w:val="en-GB"/>
        </w:rPr>
        <w:t>on</w:t>
      </w:r>
      <w:r w:rsidRPr="004D1C1B">
        <w:rPr>
          <w:spacing w:val="21"/>
          <w:lang w:val="en-GB"/>
        </w:rPr>
        <w:t xml:space="preserve"> </w:t>
      </w:r>
      <w:r w:rsidRPr="004D1C1B">
        <w:rPr>
          <w:lang w:val="en-GB"/>
        </w:rPr>
        <w:t>how</w:t>
      </w:r>
      <w:r w:rsidRPr="004D1C1B">
        <w:rPr>
          <w:spacing w:val="21"/>
          <w:lang w:val="en-GB"/>
        </w:rPr>
        <w:t xml:space="preserve"> </w:t>
      </w:r>
      <w:r w:rsidRPr="004D1C1B">
        <w:rPr>
          <w:lang w:val="en-GB"/>
        </w:rPr>
        <w:t>sustainability</w:t>
      </w:r>
      <w:r w:rsidRPr="004D1C1B">
        <w:rPr>
          <w:spacing w:val="22"/>
          <w:lang w:val="en-GB"/>
        </w:rPr>
        <w:t xml:space="preserve"> </w:t>
      </w:r>
      <w:r w:rsidRPr="004D1C1B">
        <w:rPr>
          <w:lang w:val="en-GB"/>
        </w:rPr>
        <w:t>risk</w:t>
      </w:r>
      <w:r w:rsidRPr="004D1C1B">
        <w:rPr>
          <w:spacing w:val="19"/>
          <w:lang w:val="en-GB"/>
        </w:rPr>
        <w:t xml:space="preserve"> </w:t>
      </w:r>
      <w:r w:rsidRPr="004D1C1B">
        <w:rPr>
          <w:lang w:val="en-GB"/>
        </w:rPr>
        <w:t>is</w:t>
      </w:r>
      <w:r w:rsidRPr="004D1C1B">
        <w:rPr>
          <w:spacing w:val="20"/>
          <w:lang w:val="en-GB"/>
        </w:rPr>
        <w:t xml:space="preserve"> </w:t>
      </w:r>
      <w:r w:rsidRPr="004D1C1B">
        <w:rPr>
          <w:lang w:val="en-GB"/>
        </w:rPr>
        <w:t>included</w:t>
      </w:r>
      <w:r w:rsidRPr="004D1C1B">
        <w:rPr>
          <w:spacing w:val="20"/>
          <w:lang w:val="en-GB"/>
        </w:rPr>
        <w:t xml:space="preserve"> </w:t>
      </w:r>
      <w:r w:rsidRPr="004D1C1B">
        <w:rPr>
          <w:lang w:val="en-GB"/>
        </w:rPr>
        <w:t>in</w:t>
      </w:r>
      <w:r w:rsidRPr="004D1C1B">
        <w:rPr>
          <w:spacing w:val="21"/>
          <w:lang w:val="en-GB"/>
        </w:rPr>
        <w:t xml:space="preserve"> </w:t>
      </w:r>
      <w:r w:rsidRPr="004D1C1B">
        <w:rPr>
          <w:lang w:val="en-GB"/>
        </w:rPr>
        <w:t>the</w:t>
      </w:r>
      <w:r w:rsidRPr="004D1C1B">
        <w:rPr>
          <w:spacing w:val="21"/>
          <w:lang w:val="en-GB"/>
        </w:rPr>
        <w:t xml:space="preserve"> </w:t>
      </w:r>
      <w:r w:rsidRPr="004D1C1B">
        <w:rPr>
          <w:lang w:val="en-GB"/>
        </w:rPr>
        <w:t>investment</w:t>
      </w:r>
      <w:r w:rsidRPr="004D1C1B">
        <w:rPr>
          <w:spacing w:val="21"/>
          <w:lang w:val="en-GB"/>
        </w:rPr>
        <w:t xml:space="preserve"> </w:t>
      </w:r>
      <w:r w:rsidRPr="004D1C1B">
        <w:rPr>
          <w:lang w:val="en-GB"/>
        </w:rPr>
        <w:t>decision-</w:t>
      </w:r>
      <w:r w:rsidRPr="004D1C1B">
        <w:rPr>
          <w:spacing w:val="-2"/>
          <w:lang w:val="en-GB"/>
        </w:rPr>
        <w:t>making</w:t>
      </w:r>
      <w:r w:rsidR="00B2576D" w:rsidRPr="004D1C1B">
        <w:rPr>
          <w:lang w:val="en-GB"/>
        </w:rPr>
        <w:t xml:space="preserve"> </w:t>
      </w:r>
      <w:r w:rsidRPr="004D1C1B">
        <w:rPr>
          <w:lang w:val="en-GB"/>
        </w:rPr>
        <w:t xml:space="preserve">process, the </w:t>
      </w:r>
      <w:r w:rsidR="00B2576D" w:rsidRPr="004D1C1B">
        <w:rPr>
          <w:lang w:val="en-GB"/>
        </w:rPr>
        <w:t>Firm</w:t>
      </w:r>
      <w:r w:rsidRPr="004D1C1B">
        <w:rPr>
          <w:lang w:val="en-GB"/>
        </w:rPr>
        <w:t xml:space="preserve"> defines </w:t>
      </w:r>
      <w:r w:rsidR="00A15096" w:rsidRPr="004D1C1B">
        <w:rPr>
          <w:lang w:val="en-GB"/>
        </w:rPr>
        <w:t xml:space="preserve">the </w:t>
      </w:r>
      <w:r w:rsidRPr="004D1C1B">
        <w:rPr>
          <w:lang w:val="en-GB"/>
        </w:rPr>
        <w:t>key areas and business processes within which sustainability risk is</w:t>
      </w:r>
      <w:r w:rsidR="00A15096" w:rsidRPr="004D1C1B">
        <w:rPr>
          <w:lang w:val="en-GB"/>
        </w:rPr>
        <w:t xml:space="preserve"> identified and integrated into</w:t>
      </w:r>
      <w:r w:rsidRPr="004D1C1B">
        <w:rPr>
          <w:lang w:val="en-GB"/>
        </w:rPr>
        <w:t xml:space="preserve"> the decision-making and risk management</w:t>
      </w:r>
      <w:r w:rsidR="00A15096" w:rsidRPr="004D1C1B">
        <w:rPr>
          <w:lang w:val="en-GB"/>
        </w:rPr>
        <w:t xml:space="preserve">. </w:t>
      </w:r>
    </w:p>
    <w:p w14:paraId="49A3CB57" w14:textId="77777777" w:rsidR="00A15096" w:rsidRPr="004D1C1B" w:rsidRDefault="00A15096" w:rsidP="00D90091">
      <w:pPr>
        <w:pStyle w:val="BodyText"/>
        <w:tabs>
          <w:tab w:val="left" w:pos="426"/>
        </w:tabs>
        <w:jc w:val="both"/>
        <w:rPr>
          <w:lang w:val="en-GB"/>
        </w:rPr>
      </w:pPr>
    </w:p>
    <w:p w14:paraId="639CA4AB" w14:textId="0AF3EC2F" w:rsidR="00505257" w:rsidRPr="004D1C1B" w:rsidRDefault="00367AA2">
      <w:pPr>
        <w:pStyle w:val="BodyText"/>
        <w:jc w:val="both"/>
        <w:rPr>
          <w:lang w:val="en-GB"/>
        </w:rPr>
      </w:pPr>
      <w:r w:rsidRPr="004D1C1B">
        <w:rPr>
          <w:lang w:val="en-GB"/>
        </w:rPr>
        <w:t>The</w:t>
      </w:r>
      <w:r w:rsidRPr="004D1C1B">
        <w:rPr>
          <w:spacing w:val="-1"/>
          <w:lang w:val="en-GB"/>
        </w:rPr>
        <w:t xml:space="preserve"> </w:t>
      </w:r>
      <w:r w:rsidR="00B2576D" w:rsidRPr="004D1C1B">
        <w:rPr>
          <w:lang w:val="en-GB"/>
        </w:rPr>
        <w:t>Firm</w:t>
      </w:r>
      <w:r w:rsidRPr="004D1C1B">
        <w:rPr>
          <w:spacing w:val="-1"/>
          <w:lang w:val="en-GB"/>
        </w:rPr>
        <w:t xml:space="preserve"> </w:t>
      </w:r>
      <w:r w:rsidRPr="004D1C1B">
        <w:rPr>
          <w:lang w:val="en-GB"/>
        </w:rPr>
        <w:t>has</w:t>
      </w:r>
      <w:r w:rsidRPr="004D1C1B">
        <w:rPr>
          <w:spacing w:val="-2"/>
          <w:lang w:val="en-GB"/>
        </w:rPr>
        <w:t xml:space="preserve"> </w:t>
      </w:r>
      <w:r w:rsidRPr="004D1C1B">
        <w:rPr>
          <w:lang w:val="en-GB"/>
        </w:rPr>
        <w:t>established</w:t>
      </w:r>
      <w:r w:rsidRPr="004D1C1B">
        <w:rPr>
          <w:spacing w:val="-3"/>
          <w:lang w:val="en-GB"/>
        </w:rPr>
        <w:t xml:space="preserve"> </w:t>
      </w:r>
      <w:r w:rsidRPr="004D1C1B">
        <w:rPr>
          <w:lang w:val="en-GB"/>
        </w:rPr>
        <w:t>an</w:t>
      </w:r>
      <w:r w:rsidRPr="004D1C1B">
        <w:rPr>
          <w:spacing w:val="-2"/>
          <w:lang w:val="en-GB"/>
        </w:rPr>
        <w:t xml:space="preserve"> </w:t>
      </w:r>
      <w:r w:rsidRPr="004D1C1B">
        <w:rPr>
          <w:lang w:val="en-GB"/>
        </w:rPr>
        <w:t>adequate risk</w:t>
      </w:r>
      <w:r w:rsidRPr="004D1C1B">
        <w:rPr>
          <w:spacing w:val="-2"/>
          <w:lang w:val="en-GB"/>
        </w:rPr>
        <w:t xml:space="preserve"> </w:t>
      </w:r>
      <w:r w:rsidRPr="004D1C1B">
        <w:rPr>
          <w:lang w:val="en-GB"/>
        </w:rPr>
        <w:t>management</w:t>
      </w:r>
      <w:r w:rsidRPr="004D1C1B">
        <w:rPr>
          <w:spacing w:val="-3"/>
          <w:lang w:val="en-GB"/>
        </w:rPr>
        <w:t xml:space="preserve"> </w:t>
      </w:r>
      <w:r w:rsidRPr="004D1C1B">
        <w:rPr>
          <w:lang w:val="en-GB"/>
        </w:rPr>
        <w:t>system</w:t>
      </w:r>
      <w:r w:rsidRPr="004D1C1B">
        <w:rPr>
          <w:spacing w:val="-1"/>
          <w:lang w:val="en-GB"/>
        </w:rPr>
        <w:t xml:space="preserve"> </w:t>
      </w:r>
      <w:r w:rsidRPr="004D1C1B">
        <w:rPr>
          <w:lang w:val="en-GB"/>
        </w:rPr>
        <w:t>which,</w:t>
      </w:r>
      <w:r w:rsidRPr="004D1C1B">
        <w:rPr>
          <w:spacing w:val="-3"/>
          <w:lang w:val="en-GB"/>
        </w:rPr>
        <w:t xml:space="preserve"> </w:t>
      </w:r>
      <w:r w:rsidRPr="004D1C1B">
        <w:rPr>
          <w:lang w:val="en-GB"/>
        </w:rPr>
        <w:t>through</w:t>
      </w:r>
      <w:r w:rsidRPr="004D1C1B">
        <w:rPr>
          <w:spacing w:val="-1"/>
          <w:lang w:val="en-GB"/>
        </w:rPr>
        <w:t xml:space="preserve"> </w:t>
      </w:r>
      <w:r w:rsidRPr="004D1C1B">
        <w:rPr>
          <w:lang w:val="en-GB"/>
        </w:rPr>
        <w:t>the</w:t>
      </w:r>
      <w:r w:rsidRPr="004D1C1B">
        <w:rPr>
          <w:spacing w:val="-1"/>
          <w:lang w:val="en-GB"/>
        </w:rPr>
        <w:t xml:space="preserve"> </w:t>
      </w:r>
      <w:r w:rsidRPr="004D1C1B">
        <w:rPr>
          <w:lang w:val="en-GB"/>
        </w:rPr>
        <w:t xml:space="preserve">Risk Management Policy, integrates sustainability risk in the </w:t>
      </w:r>
      <w:r w:rsidR="00B2576D" w:rsidRPr="004D1C1B">
        <w:rPr>
          <w:lang w:val="en-GB"/>
        </w:rPr>
        <w:t>Firm</w:t>
      </w:r>
      <w:r w:rsidRPr="004D1C1B">
        <w:rPr>
          <w:lang w:val="en-GB"/>
        </w:rPr>
        <w:t xml:space="preserve">'s operations and the investment decision-making process. </w:t>
      </w:r>
      <w:r w:rsidR="00505257" w:rsidRPr="004D1C1B">
        <w:rPr>
          <w:lang w:val="en-GB"/>
        </w:rPr>
        <w:t>Sustainability risks are understood as environmental, social or governance events or conditions that, if they occur, could cause an actual or potential material negative impact on the value of an investment.</w:t>
      </w:r>
    </w:p>
    <w:p w14:paraId="6AC75204" w14:textId="77777777" w:rsidR="00A15096" w:rsidRPr="004D1C1B" w:rsidRDefault="00A15096">
      <w:pPr>
        <w:pStyle w:val="BodyText"/>
        <w:jc w:val="both"/>
        <w:rPr>
          <w:lang w:val="en-GB"/>
        </w:rPr>
      </w:pPr>
    </w:p>
    <w:p w14:paraId="01BBCA2E" w14:textId="69AFED4F" w:rsidR="00A15096" w:rsidRPr="004D1C1B" w:rsidRDefault="00A15096">
      <w:pPr>
        <w:pStyle w:val="BodyText"/>
        <w:jc w:val="both"/>
        <w:rPr>
          <w:lang w:val="en-GB"/>
        </w:rPr>
      </w:pPr>
      <w:r w:rsidRPr="004D1C1B">
        <w:rPr>
          <w:lang w:val="en-GB"/>
        </w:rPr>
        <w:t>ESG oversight is retained by the Managing Partners, while day-to-day ESG implementation is led by the Firm’s ESG Lead, who coordinates ESG integration across the investment process and portfolio monitoring, with support from external experts where appropriate.</w:t>
      </w:r>
    </w:p>
    <w:p w14:paraId="2D5209FA" w14:textId="77777777" w:rsidR="00A15096" w:rsidRPr="004D1C1B" w:rsidRDefault="00A15096">
      <w:pPr>
        <w:pStyle w:val="BodyText"/>
        <w:jc w:val="both"/>
        <w:rPr>
          <w:lang w:val="en-GB"/>
        </w:rPr>
      </w:pPr>
    </w:p>
    <w:p w14:paraId="658583CC" w14:textId="4A1F9845" w:rsidR="00A15096" w:rsidRPr="004D1C1B" w:rsidRDefault="00A15096" w:rsidP="00A15096">
      <w:pPr>
        <w:pStyle w:val="BodyText"/>
        <w:jc w:val="both"/>
        <w:rPr>
          <w:lang w:val="en-GB"/>
        </w:rPr>
      </w:pPr>
      <w:r w:rsidRPr="004D1C1B">
        <w:rPr>
          <w:lang w:val="en-GB"/>
        </w:rPr>
        <w:t xml:space="preserve">The Firm manages two closed-end private equity funds. While Fund I (classified as Article 6 of the SFDR) integrates basic sustainability risks in its process, Fund II implements a more comprehensive ESG integration strategy in line with its classification under Article 8 of the SFDR. </w:t>
      </w:r>
    </w:p>
    <w:p w14:paraId="1D03904E" w14:textId="77777777" w:rsidR="00505257" w:rsidRPr="004D1C1B" w:rsidRDefault="00505257">
      <w:pPr>
        <w:pStyle w:val="BodyText"/>
        <w:jc w:val="both"/>
        <w:rPr>
          <w:lang w:val="en-GB"/>
        </w:rPr>
      </w:pPr>
    </w:p>
    <w:p w14:paraId="223C85BB" w14:textId="40633471" w:rsidR="00CF64CF" w:rsidRPr="004D1C1B" w:rsidRDefault="00367AA2" w:rsidP="00D90091">
      <w:pPr>
        <w:pStyle w:val="BodyText"/>
        <w:jc w:val="both"/>
        <w:rPr>
          <w:lang w:val="en-GB"/>
        </w:rPr>
      </w:pPr>
      <w:r w:rsidRPr="004D1C1B">
        <w:rPr>
          <w:lang w:val="en-GB"/>
        </w:rPr>
        <w:t>During each potential investment of Fund</w:t>
      </w:r>
      <w:r w:rsidR="00A15096" w:rsidRPr="004D1C1B">
        <w:rPr>
          <w:lang w:val="en-GB"/>
        </w:rPr>
        <w:t xml:space="preserve"> I</w:t>
      </w:r>
      <w:r w:rsidRPr="004D1C1B">
        <w:rPr>
          <w:lang w:val="en-GB"/>
        </w:rPr>
        <w:t xml:space="preserve">, the </w:t>
      </w:r>
      <w:r w:rsidR="00B2576D" w:rsidRPr="004D1C1B">
        <w:rPr>
          <w:lang w:val="en-GB"/>
        </w:rPr>
        <w:t>Firm</w:t>
      </w:r>
      <w:r w:rsidRPr="004D1C1B">
        <w:rPr>
          <w:lang w:val="en-GB"/>
        </w:rPr>
        <w:t xml:space="preserve"> evaluates the environmental and social risk using publicly available E</w:t>
      </w:r>
      <w:r w:rsidR="00A15096" w:rsidRPr="004D1C1B">
        <w:rPr>
          <w:lang w:val="en-GB"/>
        </w:rPr>
        <w:t xml:space="preserve">uropean </w:t>
      </w:r>
      <w:r w:rsidRPr="004D1C1B">
        <w:rPr>
          <w:lang w:val="en-GB"/>
        </w:rPr>
        <w:t>B</w:t>
      </w:r>
      <w:r w:rsidR="00A15096" w:rsidRPr="004D1C1B">
        <w:rPr>
          <w:lang w:val="en-GB"/>
        </w:rPr>
        <w:t xml:space="preserve">ank for </w:t>
      </w:r>
      <w:r w:rsidRPr="004D1C1B">
        <w:rPr>
          <w:lang w:val="en-GB"/>
        </w:rPr>
        <w:t>R</w:t>
      </w:r>
      <w:r w:rsidR="00A15096" w:rsidRPr="004D1C1B">
        <w:rPr>
          <w:lang w:val="en-GB"/>
        </w:rPr>
        <w:t xml:space="preserve">econstruction and </w:t>
      </w:r>
      <w:r w:rsidRPr="004D1C1B">
        <w:rPr>
          <w:lang w:val="en-GB"/>
        </w:rPr>
        <w:t>D</w:t>
      </w:r>
      <w:r w:rsidR="00A15096" w:rsidRPr="004D1C1B">
        <w:rPr>
          <w:lang w:val="en-GB"/>
        </w:rPr>
        <w:t>evelopment (the “EBRD”)</w:t>
      </w:r>
      <w:r w:rsidRPr="004D1C1B">
        <w:rPr>
          <w:lang w:val="en-GB"/>
        </w:rPr>
        <w:t xml:space="preserve"> Environmental and Social Risk Categori</w:t>
      </w:r>
      <w:r w:rsidR="00A15096" w:rsidRPr="004D1C1B">
        <w:rPr>
          <w:lang w:val="en-GB"/>
        </w:rPr>
        <w:t>s</w:t>
      </w:r>
      <w:r w:rsidRPr="004D1C1B">
        <w:rPr>
          <w:lang w:val="en-GB"/>
        </w:rPr>
        <w:t xml:space="preserve">ation List </w:t>
      </w:r>
      <w:r w:rsidR="009D4941" w:rsidRPr="004D1C1B">
        <w:rPr>
          <w:lang w:val="en-GB"/>
        </w:rPr>
        <w:t>and applies fund-level exclusions and screening to avoid prohibited or unacceptable activities.</w:t>
      </w:r>
      <w:r w:rsidR="00A15096" w:rsidRPr="004D1C1B">
        <w:rPr>
          <w:lang w:val="en-GB"/>
        </w:rPr>
        <w:t xml:space="preserve"> </w:t>
      </w:r>
      <w:r w:rsidRPr="004D1C1B">
        <w:rPr>
          <w:lang w:val="en-GB"/>
        </w:rPr>
        <w:t xml:space="preserve">Additionally, the </w:t>
      </w:r>
      <w:r w:rsidR="00B2576D" w:rsidRPr="004D1C1B">
        <w:rPr>
          <w:lang w:val="en-GB"/>
        </w:rPr>
        <w:t>Firm</w:t>
      </w:r>
      <w:r w:rsidRPr="004D1C1B">
        <w:rPr>
          <w:lang w:val="en-GB"/>
        </w:rPr>
        <w:t xml:space="preserve"> does not invest in industries and companies engaged in activities that are defined as unacceptable (e.g., coal, oil, hazardous substances, gambling, weapons, etc.),</w:t>
      </w:r>
      <w:r w:rsidR="00A15096" w:rsidRPr="004D1C1B">
        <w:rPr>
          <w:lang w:val="en-GB"/>
        </w:rPr>
        <w:t xml:space="preserve"> as set out</w:t>
      </w:r>
      <w:r w:rsidRPr="004D1C1B">
        <w:rPr>
          <w:lang w:val="en-GB"/>
        </w:rPr>
        <w:t xml:space="preserve"> in the EBRD’s Environmental and Social Exclusion List.</w:t>
      </w:r>
    </w:p>
    <w:p w14:paraId="492E07DA" w14:textId="5C063719" w:rsidR="00505257" w:rsidRPr="004D1C1B" w:rsidRDefault="00505257">
      <w:pPr>
        <w:pStyle w:val="BodyText"/>
        <w:jc w:val="both"/>
        <w:rPr>
          <w:lang w:val="en-GB"/>
        </w:rPr>
      </w:pPr>
    </w:p>
    <w:p w14:paraId="1092E0A5" w14:textId="6BF65231" w:rsidR="00505257" w:rsidRPr="004D1C1B" w:rsidRDefault="00505257">
      <w:pPr>
        <w:pStyle w:val="BodyText"/>
        <w:jc w:val="both"/>
        <w:rPr>
          <w:lang w:val="en-GB"/>
        </w:rPr>
      </w:pPr>
      <w:r w:rsidRPr="004D1C1B">
        <w:rPr>
          <w:lang w:val="en-GB"/>
        </w:rPr>
        <w:t>Fund II promotes environmental and social characteristics by investing in companies that operate responsibly, minimise adverse impacts and improve ESG practices over the investment period. These characteristics include, as applicable, improved resource efficiency, reduction of greenhouse gas emissions, enhanced occupational health and safety, sound labour practices, business integrity and good governance.</w:t>
      </w:r>
    </w:p>
    <w:p w14:paraId="524E9FBE" w14:textId="77777777" w:rsidR="00505257" w:rsidRPr="004D1C1B" w:rsidRDefault="00505257">
      <w:pPr>
        <w:pStyle w:val="BodyText"/>
        <w:jc w:val="both"/>
        <w:rPr>
          <w:lang w:val="en-GB"/>
        </w:rPr>
      </w:pPr>
    </w:p>
    <w:p w14:paraId="77293EAE" w14:textId="43A958D3" w:rsidR="00505257" w:rsidRPr="004D1C1B" w:rsidRDefault="00505257">
      <w:pPr>
        <w:pStyle w:val="BodyText"/>
        <w:jc w:val="both"/>
        <w:rPr>
          <w:lang w:val="en-GB"/>
        </w:rPr>
      </w:pPr>
      <w:r w:rsidRPr="004D1C1B">
        <w:rPr>
          <w:lang w:val="en-GB"/>
        </w:rPr>
        <w:t xml:space="preserve">Fund II does not have sustainable investment as its objective and does not commit to making “sustainable investments” as defined in Article 2(17) SFDR. The investments underlying Fund II do not take into account the EU criteria for environmentally sustainable economic activities within the meaning of the </w:t>
      </w:r>
      <w:r w:rsidR="00A15096" w:rsidRPr="004D1C1B">
        <w:rPr>
          <w:lang w:val="en-GB"/>
        </w:rPr>
        <w:t xml:space="preserve">TR. </w:t>
      </w:r>
      <w:r w:rsidR="004D1C1B" w:rsidRPr="004D1C1B">
        <w:rPr>
          <w:lang w:val="en-GB"/>
        </w:rPr>
        <w:t>Accordingly, references in this disclosure to European Investment Fund (the “EIF”) Climate Action and Environmental Sustainability (“CA&amp;ES”) classified investments, Do Not Significant Harm (DNSH) type screening, EBRD’s Green Investments or similar investor-specific environmental screening frameworks should not be read as a commitment by Fund II to make a minimum proportion of “sustainable investments” for SFDR purposes or Taxonomy-aligned investments for TR purposes.</w:t>
      </w:r>
    </w:p>
    <w:p w14:paraId="170005C8" w14:textId="77777777" w:rsidR="00505257" w:rsidRPr="004D1C1B" w:rsidRDefault="00505257">
      <w:pPr>
        <w:pStyle w:val="BodyText"/>
        <w:jc w:val="both"/>
        <w:rPr>
          <w:lang w:val="en-GB"/>
        </w:rPr>
      </w:pPr>
    </w:p>
    <w:p w14:paraId="565CDFF0" w14:textId="05B2891F" w:rsidR="00505257" w:rsidRPr="004D1C1B" w:rsidRDefault="00505257" w:rsidP="00505257">
      <w:pPr>
        <w:pStyle w:val="BodyText"/>
        <w:jc w:val="both"/>
        <w:rPr>
          <w:lang w:val="en-GB"/>
        </w:rPr>
      </w:pPr>
      <w:r w:rsidRPr="004D1C1B">
        <w:rPr>
          <w:lang w:val="en-GB"/>
        </w:rPr>
        <w:t>Fund II applies additional sustainability safeguards, including:</w:t>
      </w:r>
    </w:p>
    <w:p w14:paraId="720BD1B4" w14:textId="38DFAEB0" w:rsidR="00505257" w:rsidRPr="004D1C1B" w:rsidRDefault="00505257" w:rsidP="00505257">
      <w:pPr>
        <w:pStyle w:val="BodyText"/>
        <w:numPr>
          <w:ilvl w:val="0"/>
          <w:numId w:val="5"/>
        </w:numPr>
        <w:jc w:val="both"/>
        <w:rPr>
          <w:lang w:val="en-GB"/>
        </w:rPr>
      </w:pPr>
      <w:r w:rsidRPr="004D1C1B">
        <w:rPr>
          <w:lang w:val="en-GB"/>
        </w:rPr>
        <w:t>Implementation and maintenance of an Environmental and Social Management System (“ESMS”) commensurate with the Fund’s activities and aligned with applicable EBRD requirements, including defined roles, procedures and external communications on environmental and social matters</w:t>
      </w:r>
      <w:r w:rsidR="004D1C1B" w:rsidRPr="004D1C1B">
        <w:rPr>
          <w:lang w:val="en-GB"/>
        </w:rPr>
        <w:t>, as well as assignment of appropriate internal responsibility for ESG implementation;</w:t>
      </w:r>
    </w:p>
    <w:p w14:paraId="515D7EBD" w14:textId="663B23BA" w:rsidR="004D1C1B" w:rsidRPr="004D1C1B" w:rsidRDefault="00505257" w:rsidP="004D1C1B">
      <w:pPr>
        <w:pStyle w:val="BodyText"/>
        <w:numPr>
          <w:ilvl w:val="0"/>
          <w:numId w:val="5"/>
        </w:numPr>
        <w:jc w:val="both"/>
        <w:rPr>
          <w:lang w:val="en-GB"/>
        </w:rPr>
      </w:pPr>
      <w:r w:rsidRPr="004D1C1B">
        <w:rPr>
          <w:lang w:val="en-GB"/>
        </w:rPr>
        <w:t>Screening against the EBRD</w:t>
      </w:r>
      <w:r w:rsidR="004D1C1B" w:rsidRPr="004D1C1B">
        <w:rPr>
          <w:lang w:val="en-GB"/>
        </w:rPr>
        <w:t>’s</w:t>
      </w:r>
      <w:r w:rsidRPr="004D1C1B">
        <w:rPr>
          <w:lang w:val="en-GB"/>
        </w:rPr>
        <w:t xml:space="preserve"> and </w:t>
      </w:r>
      <w:r w:rsidR="004D1C1B" w:rsidRPr="004D1C1B">
        <w:rPr>
          <w:lang w:val="en-GB"/>
        </w:rPr>
        <w:t xml:space="preserve">the EIF’s </w:t>
      </w:r>
      <w:r w:rsidRPr="004D1C1B">
        <w:rPr>
          <w:lang w:val="en-GB"/>
        </w:rPr>
        <w:t>exclusion lists</w:t>
      </w:r>
      <w:r w:rsidR="004D1C1B" w:rsidRPr="004D1C1B">
        <w:rPr>
          <w:lang w:val="en-GB"/>
        </w:rPr>
        <w:t xml:space="preserve">, and, where relevant, other applicable contractual exclusion lists and restrictions, including screening against the EBRD’s List of Ineligible Entities; </w:t>
      </w:r>
    </w:p>
    <w:p w14:paraId="497D510F" w14:textId="05D67E6D" w:rsidR="004D1C1B" w:rsidRPr="004D1C1B" w:rsidRDefault="004D1C1B" w:rsidP="004D1C1B">
      <w:pPr>
        <w:pStyle w:val="BodyText"/>
        <w:numPr>
          <w:ilvl w:val="0"/>
          <w:numId w:val="5"/>
        </w:numPr>
        <w:jc w:val="both"/>
        <w:rPr>
          <w:lang w:val="en-GB"/>
        </w:rPr>
      </w:pPr>
      <w:r w:rsidRPr="004D1C1B">
        <w:rPr>
          <w:lang w:val="en-GB"/>
        </w:rPr>
        <w:t>Transaction-level ESG screening and due diligence designed to identify, assess, mitigate and monitor material ESG risks;</w:t>
      </w:r>
    </w:p>
    <w:p w14:paraId="304EC8A1" w14:textId="4E90EF71" w:rsidR="004D1C1B" w:rsidRPr="004D1C1B" w:rsidRDefault="004D1C1B" w:rsidP="00505257">
      <w:pPr>
        <w:pStyle w:val="BodyText"/>
        <w:numPr>
          <w:ilvl w:val="0"/>
          <w:numId w:val="5"/>
        </w:numPr>
        <w:jc w:val="both"/>
        <w:rPr>
          <w:lang w:val="en-GB"/>
        </w:rPr>
      </w:pPr>
      <w:r w:rsidRPr="004D1C1B">
        <w:rPr>
          <w:lang w:val="en-GB"/>
        </w:rPr>
        <w:lastRenderedPageBreak/>
        <w:t>Where relevant, verification of compliance with applicable EU and national environmental legislation and additional screening intended to avoid significant harm to environmental and/or social factors, including contractual DNSH / sustainability-proofing assessments;</w:t>
      </w:r>
    </w:p>
    <w:p w14:paraId="0E4FDFE4" w14:textId="1A8BDD47" w:rsidR="00505257" w:rsidRPr="004D1C1B" w:rsidRDefault="00505257" w:rsidP="004D1C1B">
      <w:pPr>
        <w:pStyle w:val="BodyText"/>
        <w:numPr>
          <w:ilvl w:val="0"/>
          <w:numId w:val="5"/>
        </w:numPr>
        <w:jc w:val="both"/>
        <w:rPr>
          <w:lang w:val="en-GB"/>
        </w:rPr>
      </w:pPr>
      <w:r w:rsidRPr="004D1C1B">
        <w:rPr>
          <w:lang w:val="en-GB"/>
        </w:rPr>
        <w:t>Adherence to international minimum safeguards (OECD Guidelines, UNGPs, ILO Core Conventions</w:t>
      </w:r>
      <w:r w:rsidR="004D1C1B">
        <w:rPr>
          <w:lang w:val="en-GB"/>
        </w:rPr>
        <w:t xml:space="preserve">, </w:t>
      </w:r>
      <w:r w:rsidR="004D1C1B" w:rsidRPr="004D1C1B">
        <w:rPr>
          <w:lang w:val="en-GB"/>
        </w:rPr>
        <w:t>the International Bill of Human Rights</w:t>
      </w:r>
      <w:r w:rsidRPr="004D1C1B">
        <w:rPr>
          <w:lang w:val="en-GB"/>
        </w:rPr>
        <w:t>);</w:t>
      </w:r>
    </w:p>
    <w:p w14:paraId="04F49EDB" w14:textId="253D3D96" w:rsidR="00505257" w:rsidRPr="004D1C1B" w:rsidRDefault="00505257" w:rsidP="00505257">
      <w:pPr>
        <w:pStyle w:val="BodyText"/>
        <w:numPr>
          <w:ilvl w:val="0"/>
          <w:numId w:val="5"/>
        </w:numPr>
        <w:jc w:val="both"/>
        <w:rPr>
          <w:lang w:val="en-GB"/>
        </w:rPr>
      </w:pPr>
      <w:r w:rsidRPr="004D1C1B">
        <w:rPr>
          <w:lang w:val="en-GB"/>
        </w:rPr>
        <w:t>ESG risk categorisation at pre-investment stage</w:t>
      </w:r>
      <w:r w:rsidR="004D1C1B">
        <w:rPr>
          <w:lang w:val="en-GB"/>
        </w:rPr>
        <w:t xml:space="preserve">, </w:t>
      </w:r>
      <w:r w:rsidR="004D1C1B" w:rsidRPr="004D1C1B">
        <w:rPr>
          <w:lang w:val="en-GB"/>
        </w:rPr>
        <w:t>with enhanced review for higher-risk investments where relevant</w:t>
      </w:r>
      <w:r w:rsidRPr="004D1C1B">
        <w:rPr>
          <w:lang w:val="en-GB"/>
        </w:rPr>
        <w:t>;</w:t>
      </w:r>
    </w:p>
    <w:p w14:paraId="0A93ACD9" w14:textId="34F6ADDF" w:rsidR="00505257" w:rsidRPr="004D1C1B" w:rsidRDefault="00505257" w:rsidP="00505257">
      <w:pPr>
        <w:pStyle w:val="BodyText"/>
        <w:numPr>
          <w:ilvl w:val="0"/>
          <w:numId w:val="5"/>
        </w:numPr>
        <w:jc w:val="both"/>
        <w:rPr>
          <w:lang w:val="en-GB"/>
        </w:rPr>
      </w:pPr>
      <w:r w:rsidRPr="004D1C1B">
        <w:rPr>
          <w:lang w:val="en-GB"/>
        </w:rPr>
        <w:t>Monitoring of ESG KPIs post-investment in line with the Invest Europe ESG Reporting Template</w:t>
      </w:r>
      <w:r w:rsidR="004D1C1B">
        <w:rPr>
          <w:lang w:val="en-GB"/>
        </w:rPr>
        <w:t xml:space="preserve">, </w:t>
      </w:r>
      <w:r w:rsidR="004D1C1B" w:rsidRPr="004D1C1B">
        <w:rPr>
          <w:lang w:val="en-GB"/>
        </w:rPr>
        <w:t>including, where relevant, monitoring of material ESG incidents and remediation measures</w:t>
      </w:r>
      <w:r w:rsidRPr="004D1C1B">
        <w:rPr>
          <w:lang w:val="en-GB"/>
        </w:rPr>
        <w:t xml:space="preserve">; </w:t>
      </w:r>
    </w:p>
    <w:p w14:paraId="3892C576" w14:textId="73CEAF61" w:rsidR="00505257" w:rsidRPr="004D1C1B" w:rsidRDefault="004D1C1B" w:rsidP="004D1C1B">
      <w:pPr>
        <w:pStyle w:val="BodyText"/>
        <w:numPr>
          <w:ilvl w:val="0"/>
          <w:numId w:val="5"/>
        </w:numPr>
        <w:jc w:val="both"/>
        <w:rPr>
          <w:lang w:val="en-GB"/>
        </w:rPr>
      </w:pPr>
      <w:r w:rsidRPr="004D1C1B">
        <w:rPr>
          <w:lang w:val="en-GB"/>
        </w:rPr>
        <w:t>A contractual commitment to invest an amount at least equal to 5% of the total amount drawn down for investments in Portfolio Companies in investments classified as contributing to EIF’s latest criteria for Climate Action and Environmental Sustainability (CA&amp;ES), as published on EIF’s website and as updated from time to time;</w:t>
      </w:r>
      <w:r>
        <w:rPr>
          <w:lang w:val="en-GB"/>
        </w:rPr>
        <w:t xml:space="preserve"> </w:t>
      </w:r>
      <w:r w:rsidR="00445111" w:rsidRPr="004D1C1B">
        <w:rPr>
          <w:lang w:val="en-GB"/>
        </w:rPr>
        <w:t>and</w:t>
      </w:r>
    </w:p>
    <w:p w14:paraId="04E71BEE" w14:textId="5B2B1DA3" w:rsidR="00ED1395" w:rsidRDefault="00ED1395" w:rsidP="00D90091">
      <w:pPr>
        <w:pStyle w:val="BodyText"/>
        <w:numPr>
          <w:ilvl w:val="0"/>
          <w:numId w:val="5"/>
        </w:numPr>
        <w:jc w:val="both"/>
        <w:rPr>
          <w:lang w:val="en-GB"/>
        </w:rPr>
      </w:pPr>
      <w:r w:rsidRPr="004D1C1B">
        <w:rPr>
          <w:lang w:val="en-GB"/>
        </w:rPr>
        <w:t>On a best-efforts basis, making and/or identifying Green Investments in line with the EBRD Green Finance Methodology / Green Finance Guidelines, and monitoring and reporting associated environmental impacts to EBRD annually, where applicable</w:t>
      </w:r>
      <w:r w:rsidR="004D1C1B">
        <w:rPr>
          <w:lang w:val="en-GB"/>
        </w:rPr>
        <w:t xml:space="preserve">; </w:t>
      </w:r>
    </w:p>
    <w:p w14:paraId="158185A0" w14:textId="363474F4" w:rsidR="004D1C1B" w:rsidRPr="004D1C1B" w:rsidRDefault="004D1C1B" w:rsidP="004D1C1B">
      <w:pPr>
        <w:pStyle w:val="BodyText"/>
        <w:numPr>
          <w:ilvl w:val="0"/>
          <w:numId w:val="5"/>
        </w:numPr>
        <w:jc w:val="both"/>
        <w:rPr>
          <w:lang w:val="en-GB"/>
        </w:rPr>
      </w:pPr>
      <w:r w:rsidRPr="004D1C1B">
        <w:rPr>
          <w:lang w:val="en-GB"/>
        </w:rPr>
        <w:t>Seeking, on a best commercially reasonable efforts basis, to keep Fund II’s investment strategy consistent with a maximum temperature rise of 1.5°C above pre-industrial levels and climate-resilient development aligned with the goals of the Paris Agreement; and</w:t>
      </w:r>
    </w:p>
    <w:p w14:paraId="71E27112" w14:textId="201CEABB" w:rsidR="004D1C1B" w:rsidRPr="004D1C1B" w:rsidRDefault="004D1C1B" w:rsidP="006B32F1">
      <w:pPr>
        <w:pStyle w:val="BodyText"/>
        <w:numPr>
          <w:ilvl w:val="0"/>
          <w:numId w:val="5"/>
        </w:numPr>
        <w:jc w:val="both"/>
        <w:rPr>
          <w:lang w:val="en-GB"/>
        </w:rPr>
      </w:pPr>
      <w:r w:rsidRPr="004D1C1B">
        <w:rPr>
          <w:lang w:val="en-GB"/>
        </w:rPr>
        <w:t>Considering, where relevant, credible decarbonisation and/or corrective measures for investments with heightened environmental or climate relevance and reflecting such measures in transaction documentation and post-investment monitoring.</w:t>
      </w:r>
    </w:p>
    <w:p w14:paraId="381FAD69" w14:textId="77777777" w:rsidR="004D1C1B" w:rsidRPr="004D1C1B" w:rsidRDefault="004D1C1B">
      <w:pPr>
        <w:pStyle w:val="BodyText"/>
        <w:jc w:val="both"/>
        <w:rPr>
          <w:lang w:val="en-GB"/>
        </w:rPr>
      </w:pPr>
    </w:p>
    <w:p w14:paraId="1BF28F24" w14:textId="1065CCB9" w:rsidR="00505257" w:rsidRPr="004D1C1B" w:rsidRDefault="00505257">
      <w:pPr>
        <w:pStyle w:val="BodyText"/>
        <w:jc w:val="both"/>
        <w:rPr>
          <w:lang w:val="en-GB"/>
        </w:rPr>
      </w:pPr>
      <w:r w:rsidRPr="004D1C1B">
        <w:rPr>
          <w:lang w:val="en-GB"/>
        </w:rPr>
        <w:t xml:space="preserve">Fund II monitors ESG performance during the holding period through periodic engagement with portfolio companies, review of ESG KPIs, </w:t>
      </w:r>
      <w:r w:rsidR="004D1C1B" w:rsidRPr="004D1C1B">
        <w:rPr>
          <w:lang w:val="en-GB"/>
        </w:rPr>
        <w:t xml:space="preserve">monitoring of agreed mitigation / remedial actions, </w:t>
      </w:r>
      <w:r w:rsidRPr="004D1C1B">
        <w:rPr>
          <w:lang w:val="en-GB"/>
        </w:rPr>
        <w:t xml:space="preserve">and escalation of material ESG incidents. ESG data relies primarily on portfolio company reporting, supplemented by public and external sources. Due to the private market nature of investments, data may be incomplete, based on estimates, or not fully comparable. Fund </w:t>
      </w:r>
      <w:r w:rsidR="00A15096" w:rsidRPr="004D1C1B">
        <w:rPr>
          <w:lang w:val="en-GB"/>
        </w:rPr>
        <w:t xml:space="preserve">II </w:t>
      </w:r>
      <w:r w:rsidRPr="004D1C1B">
        <w:rPr>
          <w:lang w:val="en-GB"/>
        </w:rPr>
        <w:t xml:space="preserve">seeks to improve ESG data quality over time through active ownership. </w:t>
      </w:r>
      <w:r w:rsidR="004D1C1B" w:rsidRPr="004D1C1B">
        <w:rPr>
          <w:lang w:val="en-GB"/>
        </w:rPr>
        <w:t xml:space="preserve">The Firm also maintains a process for public disclosure and external communications on environmental and social matters. </w:t>
      </w:r>
      <w:r w:rsidRPr="004D1C1B">
        <w:rPr>
          <w:lang w:val="en-GB"/>
        </w:rPr>
        <w:t>No reference benchmark has been designated for Fund II.</w:t>
      </w:r>
    </w:p>
    <w:p w14:paraId="44549BB7" w14:textId="77777777" w:rsidR="00CB511F" w:rsidRPr="004D1C1B" w:rsidRDefault="00CB511F" w:rsidP="00D90091">
      <w:pPr>
        <w:pStyle w:val="BodyText"/>
        <w:jc w:val="both"/>
        <w:rPr>
          <w:lang w:val="en-GB"/>
        </w:rPr>
      </w:pPr>
    </w:p>
    <w:p w14:paraId="2807B258" w14:textId="77777777" w:rsidR="00A15096" w:rsidRPr="004D1C1B" w:rsidRDefault="00A15096">
      <w:pPr>
        <w:pStyle w:val="BodyText"/>
        <w:jc w:val="both"/>
        <w:rPr>
          <w:lang w:val="en-GB"/>
        </w:rPr>
      </w:pPr>
    </w:p>
    <w:p w14:paraId="3A0A4DC7" w14:textId="77777777" w:rsidR="00A15096" w:rsidRPr="004D1C1B" w:rsidRDefault="00A15096">
      <w:pPr>
        <w:pStyle w:val="BodyText"/>
        <w:jc w:val="both"/>
        <w:rPr>
          <w:lang w:val="en-GB"/>
        </w:rPr>
      </w:pPr>
    </w:p>
    <w:p w14:paraId="6AC23D2E" w14:textId="60CB9DD1" w:rsidR="00CB511F" w:rsidRPr="004D1C1B" w:rsidRDefault="00CB511F" w:rsidP="00D90091">
      <w:pPr>
        <w:pStyle w:val="BodyText"/>
        <w:jc w:val="both"/>
        <w:rPr>
          <w:lang w:val="en-GB"/>
        </w:rPr>
      </w:pPr>
    </w:p>
    <w:p w14:paraId="0F28CBA6" w14:textId="797FC538" w:rsidR="00CB511F" w:rsidRPr="004D1C1B" w:rsidRDefault="00CB511F" w:rsidP="00D90091">
      <w:pPr>
        <w:pStyle w:val="BodyText"/>
        <w:jc w:val="both"/>
        <w:rPr>
          <w:lang w:val="en-GB"/>
        </w:rPr>
      </w:pPr>
    </w:p>
    <w:sectPr w:rsidR="00CB511F" w:rsidRPr="004D1C1B" w:rsidSect="00D90091">
      <w:headerReference w:type="default" r:id="rId10"/>
      <w:footerReference w:type="even" r:id="rId11"/>
      <w:footerReference w:type="default" r:id="rId12"/>
      <w:pgSz w:w="11910" w:h="16840"/>
      <w:pgMar w:top="1843" w:right="127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DA8E" w14:textId="77777777" w:rsidR="00467E66" w:rsidRDefault="00467E66" w:rsidP="00697D50">
      <w:r>
        <w:separator/>
      </w:r>
    </w:p>
  </w:endnote>
  <w:endnote w:type="continuationSeparator" w:id="0">
    <w:p w14:paraId="00759F24" w14:textId="77777777" w:rsidR="00467E66" w:rsidRDefault="00467E66" w:rsidP="006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097874"/>
      <w:docPartObj>
        <w:docPartGallery w:val="Page Numbers (Bottom of Page)"/>
        <w:docPartUnique/>
      </w:docPartObj>
    </w:sdtPr>
    <w:sdtEndPr>
      <w:rPr>
        <w:rStyle w:val="PageNumber"/>
      </w:rPr>
    </w:sdtEndPr>
    <w:sdtContent>
      <w:p w14:paraId="478A6676" w14:textId="6E9B841E" w:rsidR="00DC6D28" w:rsidRDefault="00DC6D28" w:rsidP="00E11C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F0D790" w14:textId="77777777" w:rsidR="00DC6D28" w:rsidRDefault="00DC6D28" w:rsidP="00D900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872965919"/>
      <w:docPartObj>
        <w:docPartGallery w:val="Page Numbers (Bottom of Page)"/>
        <w:docPartUnique/>
      </w:docPartObj>
    </w:sdtPr>
    <w:sdtEndPr>
      <w:rPr>
        <w:rStyle w:val="PageNumber"/>
      </w:rPr>
    </w:sdtEndPr>
    <w:sdtContent>
      <w:p w14:paraId="0D13076A" w14:textId="34DDCD8C" w:rsidR="00DC6D28" w:rsidRPr="00D90091" w:rsidRDefault="00DC6D28" w:rsidP="00E11C78">
        <w:pPr>
          <w:pStyle w:val="Footer"/>
          <w:framePr w:wrap="none" w:vAnchor="text" w:hAnchor="margin" w:xAlign="right" w:y="1"/>
          <w:rPr>
            <w:rStyle w:val="PageNumber"/>
            <w:sz w:val="21"/>
            <w:szCs w:val="21"/>
          </w:rPr>
        </w:pPr>
        <w:r w:rsidRPr="00D90091">
          <w:rPr>
            <w:rStyle w:val="PageNumber"/>
            <w:sz w:val="21"/>
            <w:szCs w:val="21"/>
          </w:rPr>
          <w:fldChar w:fldCharType="begin"/>
        </w:r>
        <w:r w:rsidRPr="00D90091">
          <w:rPr>
            <w:rStyle w:val="PageNumber"/>
            <w:sz w:val="21"/>
            <w:szCs w:val="21"/>
          </w:rPr>
          <w:instrText xml:space="preserve"> PAGE </w:instrText>
        </w:r>
        <w:r w:rsidRPr="00D90091">
          <w:rPr>
            <w:rStyle w:val="PageNumber"/>
            <w:sz w:val="21"/>
            <w:szCs w:val="21"/>
          </w:rPr>
          <w:fldChar w:fldCharType="separate"/>
        </w:r>
        <w:r w:rsidRPr="00D90091">
          <w:rPr>
            <w:rStyle w:val="PageNumber"/>
            <w:noProof/>
            <w:sz w:val="21"/>
            <w:szCs w:val="21"/>
          </w:rPr>
          <w:t>5</w:t>
        </w:r>
        <w:r w:rsidRPr="00D90091">
          <w:rPr>
            <w:rStyle w:val="PageNumber"/>
            <w:sz w:val="21"/>
            <w:szCs w:val="21"/>
          </w:rPr>
          <w:fldChar w:fldCharType="end"/>
        </w:r>
      </w:p>
    </w:sdtContent>
  </w:sdt>
  <w:p w14:paraId="60CBFF6E" w14:textId="77777777" w:rsidR="00DC6D28" w:rsidRDefault="00DC6D28" w:rsidP="00D900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E13DF" w14:textId="77777777" w:rsidR="00467E66" w:rsidRDefault="00467E66" w:rsidP="00697D50">
      <w:r>
        <w:separator/>
      </w:r>
    </w:p>
  </w:footnote>
  <w:footnote w:type="continuationSeparator" w:id="0">
    <w:p w14:paraId="5AEE6CDE" w14:textId="77777777" w:rsidR="00467E66" w:rsidRDefault="00467E66" w:rsidP="0069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0A2B" w14:textId="48969C82" w:rsidR="00697D50" w:rsidRDefault="00697D50">
    <w:pPr>
      <w:pStyle w:val="Header"/>
    </w:pPr>
    <w:r w:rsidRPr="00D90091">
      <w:rPr>
        <w:noProof/>
        <w:sz w:val="19"/>
        <w:lang w:val="en-GB"/>
      </w:rPr>
      <w:drawing>
        <wp:anchor distT="0" distB="0" distL="0" distR="0" simplePos="0" relativeHeight="251659264" behindDoc="0" locked="0" layoutInCell="1" allowOverlap="1" wp14:anchorId="54FEFD05" wp14:editId="553D81D5">
          <wp:simplePos x="0" y="0"/>
          <wp:positionH relativeFrom="page">
            <wp:posOffset>809625</wp:posOffset>
          </wp:positionH>
          <wp:positionV relativeFrom="paragraph">
            <wp:posOffset>0</wp:posOffset>
          </wp:positionV>
          <wp:extent cx="877146" cy="403013"/>
          <wp:effectExtent l="0" t="0" r="0" b="0"/>
          <wp:wrapNone/>
          <wp:docPr id="9869579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7146"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B36"/>
    <w:multiLevelType w:val="hybridMultilevel"/>
    <w:tmpl w:val="2F8689D2"/>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 w15:restartNumberingAfterBreak="0">
    <w:nsid w:val="2BFA5317"/>
    <w:multiLevelType w:val="hybridMultilevel"/>
    <w:tmpl w:val="492EF87C"/>
    <w:lvl w:ilvl="0" w:tplc="DF0AFBE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7662DB"/>
    <w:multiLevelType w:val="hybridMultilevel"/>
    <w:tmpl w:val="4FE6B3DE"/>
    <w:lvl w:ilvl="0" w:tplc="AC388E58">
      <w:start w:val="1"/>
      <w:numFmt w:val="lowerRoman"/>
      <w:lvlText w:val="(%1)"/>
      <w:lvlJc w:val="left"/>
      <w:pPr>
        <w:ind w:left="846" w:hanging="360"/>
      </w:pPr>
      <w:rPr>
        <w:rFonts w:hint="default"/>
      </w:r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3" w15:restartNumberingAfterBreak="0">
    <w:nsid w:val="5E634991"/>
    <w:multiLevelType w:val="hybridMultilevel"/>
    <w:tmpl w:val="E4A04C06"/>
    <w:lvl w:ilvl="0" w:tplc="89E0D8EC">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3915A34"/>
    <w:multiLevelType w:val="hybridMultilevel"/>
    <w:tmpl w:val="7FCEA922"/>
    <w:lvl w:ilvl="0" w:tplc="AC388E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709118">
    <w:abstractNumId w:val="2"/>
  </w:num>
  <w:num w:numId="2" w16cid:durableId="2112820414">
    <w:abstractNumId w:val="4"/>
  </w:num>
  <w:num w:numId="3" w16cid:durableId="721250407">
    <w:abstractNumId w:val="0"/>
  </w:num>
  <w:num w:numId="4" w16cid:durableId="62721854">
    <w:abstractNumId w:val="3"/>
  </w:num>
  <w:num w:numId="5" w16cid:durableId="19902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CF"/>
    <w:rsid w:val="0003231D"/>
    <w:rsid w:val="000663D7"/>
    <w:rsid w:val="000E2D25"/>
    <w:rsid w:val="001250EA"/>
    <w:rsid w:val="00131CEB"/>
    <w:rsid w:val="001E0AC7"/>
    <w:rsid w:val="00224424"/>
    <w:rsid w:val="0023337A"/>
    <w:rsid w:val="0025584C"/>
    <w:rsid w:val="002F005F"/>
    <w:rsid w:val="00367AA2"/>
    <w:rsid w:val="00445111"/>
    <w:rsid w:val="00457DB8"/>
    <w:rsid w:val="00467E66"/>
    <w:rsid w:val="00480950"/>
    <w:rsid w:val="004D1C1B"/>
    <w:rsid w:val="004D58A3"/>
    <w:rsid w:val="004F334F"/>
    <w:rsid w:val="00505257"/>
    <w:rsid w:val="005D7C21"/>
    <w:rsid w:val="00601642"/>
    <w:rsid w:val="0067676F"/>
    <w:rsid w:val="006900C1"/>
    <w:rsid w:val="00697D50"/>
    <w:rsid w:val="006A291D"/>
    <w:rsid w:val="006A2D8C"/>
    <w:rsid w:val="006B32F1"/>
    <w:rsid w:val="00834FBC"/>
    <w:rsid w:val="00876B77"/>
    <w:rsid w:val="00886A40"/>
    <w:rsid w:val="008D1562"/>
    <w:rsid w:val="008E5B95"/>
    <w:rsid w:val="00900C93"/>
    <w:rsid w:val="00934B7C"/>
    <w:rsid w:val="00941BA8"/>
    <w:rsid w:val="009D4941"/>
    <w:rsid w:val="00A03CC9"/>
    <w:rsid w:val="00A075BA"/>
    <w:rsid w:val="00A15096"/>
    <w:rsid w:val="00AA597D"/>
    <w:rsid w:val="00B022FC"/>
    <w:rsid w:val="00B2576D"/>
    <w:rsid w:val="00B3642F"/>
    <w:rsid w:val="00B460F1"/>
    <w:rsid w:val="00BA4D42"/>
    <w:rsid w:val="00BE4355"/>
    <w:rsid w:val="00BF7E4E"/>
    <w:rsid w:val="00C22C36"/>
    <w:rsid w:val="00C4054A"/>
    <w:rsid w:val="00C6111A"/>
    <w:rsid w:val="00CB511F"/>
    <w:rsid w:val="00CF64CF"/>
    <w:rsid w:val="00D90091"/>
    <w:rsid w:val="00DC6D28"/>
    <w:rsid w:val="00DD3C6D"/>
    <w:rsid w:val="00E6335D"/>
    <w:rsid w:val="00EA6DC2"/>
    <w:rsid w:val="00ED1395"/>
    <w:rsid w:val="00EF19FE"/>
    <w:rsid w:val="00F3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3385"/>
  <w15:docId w15:val="{5DAA03D4-D5CE-904C-A01D-8E641CC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outlineLvl w:val="0"/>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
      <w:ind w:left="3"/>
      <w:jc w:val="center"/>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F7E4E"/>
    <w:pPr>
      <w:widowControl/>
      <w:autoSpaceDE/>
      <w:autoSpaceDN/>
    </w:pPr>
    <w:rPr>
      <w:rFonts w:ascii="Calibri" w:eastAsia="Calibri" w:hAnsi="Calibri" w:cs="Calibri"/>
    </w:rPr>
  </w:style>
  <w:style w:type="paragraph" w:styleId="Header">
    <w:name w:val="header"/>
    <w:basedOn w:val="Normal"/>
    <w:link w:val="HeaderChar"/>
    <w:uiPriority w:val="99"/>
    <w:unhideWhenUsed/>
    <w:rsid w:val="00697D50"/>
    <w:pPr>
      <w:tabs>
        <w:tab w:val="center" w:pos="4536"/>
        <w:tab w:val="right" w:pos="9072"/>
      </w:tabs>
    </w:pPr>
  </w:style>
  <w:style w:type="character" w:customStyle="1" w:styleId="HeaderChar">
    <w:name w:val="Header Char"/>
    <w:basedOn w:val="DefaultParagraphFont"/>
    <w:link w:val="Header"/>
    <w:uiPriority w:val="99"/>
    <w:rsid w:val="00697D50"/>
    <w:rPr>
      <w:rFonts w:ascii="Calibri" w:eastAsia="Calibri" w:hAnsi="Calibri" w:cs="Calibri"/>
    </w:rPr>
  </w:style>
  <w:style w:type="paragraph" w:styleId="Footer">
    <w:name w:val="footer"/>
    <w:basedOn w:val="Normal"/>
    <w:link w:val="FooterChar"/>
    <w:uiPriority w:val="99"/>
    <w:unhideWhenUsed/>
    <w:rsid w:val="00697D50"/>
    <w:pPr>
      <w:tabs>
        <w:tab w:val="center" w:pos="4536"/>
        <w:tab w:val="right" w:pos="9072"/>
      </w:tabs>
    </w:pPr>
  </w:style>
  <w:style w:type="character" w:customStyle="1" w:styleId="FooterChar">
    <w:name w:val="Footer Char"/>
    <w:basedOn w:val="DefaultParagraphFont"/>
    <w:link w:val="Footer"/>
    <w:uiPriority w:val="99"/>
    <w:rsid w:val="00697D50"/>
    <w:rPr>
      <w:rFonts w:ascii="Calibri" w:eastAsia="Calibri" w:hAnsi="Calibri" w:cs="Calibri"/>
    </w:rPr>
  </w:style>
  <w:style w:type="character" w:styleId="CommentReference">
    <w:name w:val="annotation reference"/>
    <w:basedOn w:val="DefaultParagraphFont"/>
    <w:uiPriority w:val="99"/>
    <w:semiHidden/>
    <w:unhideWhenUsed/>
    <w:rsid w:val="00C4054A"/>
    <w:rPr>
      <w:sz w:val="16"/>
      <w:szCs w:val="16"/>
    </w:rPr>
  </w:style>
  <w:style w:type="paragraph" w:styleId="CommentText">
    <w:name w:val="annotation text"/>
    <w:basedOn w:val="Normal"/>
    <w:link w:val="CommentTextChar"/>
    <w:uiPriority w:val="99"/>
    <w:unhideWhenUsed/>
    <w:rsid w:val="00C4054A"/>
    <w:rPr>
      <w:sz w:val="20"/>
      <w:szCs w:val="20"/>
    </w:rPr>
  </w:style>
  <w:style w:type="character" w:customStyle="1" w:styleId="CommentTextChar">
    <w:name w:val="Comment Text Char"/>
    <w:basedOn w:val="DefaultParagraphFont"/>
    <w:link w:val="CommentText"/>
    <w:uiPriority w:val="99"/>
    <w:rsid w:val="00C405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4054A"/>
    <w:rPr>
      <w:b/>
      <w:bCs/>
    </w:rPr>
  </w:style>
  <w:style w:type="character" w:customStyle="1" w:styleId="CommentSubjectChar">
    <w:name w:val="Comment Subject Char"/>
    <w:basedOn w:val="CommentTextChar"/>
    <w:link w:val="CommentSubject"/>
    <w:uiPriority w:val="99"/>
    <w:semiHidden/>
    <w:rsid w:val="00C4054A"/>
    <w:rPr>
      <w:rFonts w:ascii="Calibri" w:eastAsia="Calibri" w:hAnsi="Calibri" w:cs="Calibri"/>
      <w:b/>
      <w:bCs/>
      <w:sz w:val="20"/>
      <w:szCs w:val="20"/>
    </w:rPr>
  </w:style>
  <w:style w:type="character" w:styleId="PageNumber">
    <w:name w:val="page number"/>
    <w:basedOn w:val="DefaultParagraphFont"/>
    <w:uiPriority w:val="99"/>
    <w:semiHidden/>
    <w:unhideWhenUsed/>
    <w:rsid w:val="00DC6D28"/>
  </w:style>
  <w:style w:type="paragraph" w:customStyle="1" w:styleId="Heading1Custom">
    <w:name w:val="Heading 1 Custom"/>
    <w:basedOn w:val="Heading1"/>
    <w:qFormat/>
    <w:rsid w:val="00DC6D28"/>
    <w:pPr>
      <w:ind w:left="0"/>
      <w:jc w:val="both"/>
    </w:pPr>
    <w:rPr>
      <w:color w:val="1E3763"/>
      <w:u w:color="1E3763"/>
      <w:lang w:val="en-GB"/>
    </w:rPr>
  </w:style>
  <w:style w:type="paragraph" w:customStyle="1" w:styleId="Heading2Custom">
    <w:name w:val="Heading 2 Custom"/>
    <w:basedOn w:val="Heading1Custom"/>
    <w:qFormat/>
    <w:rsid w:val="00DC6D28"/>
    <w:rPr>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72e73b3-11ff-42d7-9247-091d7aebb192" xsi:nil="true"/>
    <lcf76f155ced4ddcb4097134ff3c332f xmlns="d4c4f6c7-25a9-40cf-b347-0327acdd5e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4F7DE2609A1E46857CDC2A7D8360C9" ma:contentTypeVersion="21" ma:contentTypeDescription="Create a new document." ma:contentTypeScope="" ma:versionID="9ec65eaf23c24a0465f0823def152cc8">
  <xsd:schema xmlns:xsd="http://www.w3.org/2001/XMLSchema" xmlns:xs="http://www.w3.org/2001/XMLSchema" xmlns:p="http://schemas.microsoft.com/office/2006/metadata/properties" xmlns:ns1="http://schemas.microsoft.com/sharepoint/v3" xmlns:ns2="d4c4f6c7-25a9-40cf-b347-0327acdd5ea8" xmlns:ns3="572e73b3-11ff-42d7-9247-091d7aebb192" targetNamespace="http://schemas.microsoft.com/office/2006/metadata/properties" ma:root="true" ma:fieldsID="8b7571208a787f543e5c8bd8d6d1af40" ns1:_="" ns2:_="" ns3:_="">
    <xsd:import namespace="http://schemas.microsoft.com/sharepoint/v3"/>
    <xsd:import namespace="d4c4f6c7-25a9-40cf-b347-0327acdd5ea8"/>
    <xsd:import namespace="572e73b3-11ff-42d7-9247-091d7aebb1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f6c7-25a9-40cf-b347-0327acdd5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cb8bf1-9921-4fc9-9bf1-ae2f166e9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73b3-11ff-42d7-9247-091d7aebb1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7a883f-a6bb-4a55-bcf3-2e122ab806c7}" ma:internalName="TaxCatchAll" ma:showField="CatchAllData" ma:web="572e73b3-11ff-42d7-9247-091d7aebb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D0741-1E5A-4238-BF8A-3AF3047B3D0C}">
  <ds:schemaRefs>
    <ds:schemaRef ds:uri="http://schemas.microsoft.com/office/2006/metadata/properties"/>
    <ds:schemaRef ds:uri="http://schemas.microsoft.com/office/infopath/2007/PartnerControls"/>
    <ds:schemaRef ds:uri="http://schemas.microsoft.com/sharepoint/v3"/>
    <ds:schemaRef ds:uri="572e73b3-11ff-42d7-9247-091d7aebb192"/>
    <ds:schemaRef ds:uri="d4c4f6c7-25a9-40cf-b347-0327acdd5ea8"/>
  </ds:schemaRefs>
</ds:datastoreItem>
</file>

<file path=customXml/itemProps2.xml><?xml version="1.0" encoding="utf-8"?>
<ds:datastoreItem xmlns:ds="http://schemas.openxmlformats.org/officeDocument/2006/customXml" ds:itemID="{FF4E529D-4C09-45EC-80BF-F1E4ADBE8389}">
  <ds:schemaRefs>
    <ds:schemaRef ds:uri="http://schemas.microsoft.com/sharepoint/v3/contenttype/forms"/>
  </ds:schemaRefs>
</ds:datastoreItem>
</file>

<file path=customXml/itemProps3.xml><?xml version="1.0" encoding="utf-8"?>
<ds:datastoreItem xmlns:ds="http://schemas.openxmlformats.org/officeDocument/2006/customXml" ds:itemID="{88B01C8E-D33F-450E-8A43-E8A9D71F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c4f6c7-25a9-40cf-b347-0327acdd5ea8"/>
    <ds:schemaRef ds:uri="572e73b3-11ff-42d7-9247-091d7aebb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Microsoft Word - PAI statemet.docx</vt:lpstr>
    </vt:vector>
  </TitlesOfParts>
  <Manager/>
  <Company/>
  <LinksUpToDate>false</LinksUpToDate>
  <CharactersWithSpaces>6389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Marovic</dc:creator>
  <cp:keywords/>
  <dc:description/>
  <cp:lastModifiedBy>Zrinka Vuković Berić</cp:lastModifiedBy>
  <cp:revision>2</cp:revision>
  <dcterms:created xsi:type="dcterms:W3CDTF">2026-07-21T14:05:00Z</dcterms:created>
  <dcterms:modified xsi:type="dcterms:W3CDTF">2026-07-21T14:05:00Z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2023-06-28T10:00:00Z</vt:filetime>
  </property>
  <property fmtid="{D5CDD505-2E9C-101B-9397-08002B2CF9AE}" pid="3" name="Creator">
    <vt:lpwstr>PScript5.dll Version 5.2.2</vt:lpwstr>
  </property>
  <property fmtid="{D5CDD505-2E9C-101B-9397-08002B2CF9AE}" pid="4" name="LastSaved">
    <vt:filetime>2025-07-21T10:00:00Z</vt:filetime>
  </property>
  <property fmtid="{D5CDD505-2E9C-101B-9397-08002B2CF9AE}" pid="5" name="Producer">
    <vt:lpwstr>Acrobat Distiller 23.0 (Windows)</vt:lpwstr>
  </property>
  <property fmtid="{D5CDD505-2E9C-101B-9397-08002B2CF9AE}" pid="6" name="ContentTypeId">
    <vt:lpwstr>0x010100444F7DE2609A1E46857CDC2A7D8360C9</vt:lpwstr>
  </property>
  <property fmtid="{D5CDD505-2E9C-101B-9397-08002B2CF9AE}" pid="7" name="MediaServiceImageTags">
    <vt:lpwstr/>
  </property>
  <property fmtid="{D5CDD505-2E9C-101B-9397-08002B2CF9AE}" pid="8" name="GrammarlyDocumentId">
    <vt:lpwstr>1ef12617-d24c-478d-9331-b38482b2823f</vt:lpwstr>
  </property>
</Properties>
</file>