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0F1E" w14:textId="05D750F0" w:rsidR="00CF64CF" w:rsidRPr="004D1C1B" w:rsidRDefault="00367AA2" w:rsidP="00D90091">
      <w:pPr>
        <w:ind w:firstLine="193"/>
        <w:jc w:val="right"/>
        <w:rPr>
          <w:spacing w:val="-4"/>
          <w:sz w:val="21"/>
          <w:szCs w:val="21"/>
          <w:lang w:val="en-GB"/>
        </w:rPr>
      </w:pPr>
      <w:r w:rsidRPr="004D1C1B">
        <w:rPr>
          <w:sz w:val="21"/>
          <w:szCs w:val="21"/>
          <w:lang w:val="en-GB"/>
        </w:rPr>
        <w:t>Date:</w:t>
      </w:r>
      <w:r w:rsidR="00DC6D28" w:rsidRPr="004D1C1B">
        <w:rPr>
          <w:spacing w:val="-4"/>
          <w:sz w:val="21"/>
          <w:szCs w:val="21"/>
          <w:lang w:val="en-GB"/>
        </w:rPr>
        <w:t xml:space="preserve"> </w:t>
      </w:r>
      <w:r w:rsidR="00105596">
        <w:rPr>
          <w:spacing w:val="-4"/>
          <w:sz w:val="21"/>
          <w:szCs w:val="21"/>
          <w:lang w:val="en-GB"/>
        </w:rPr>
        <w:t>17</w:t>
      </w:r>
      <w:r w:rsidR="00105596" w:rsidRPr="004D1C1B">
        <w:rPr>
          <w:spacing w:val="-4"/>
          <w:sz w:val="21"/>
          <w:szCs w:val="21"/>
          <w:lang w:val="en-GB"/>
        </w:rPr>
        <w:t xml:space="preserve"> </w:t>
      </w:r>
      <w:r w:rsidR="00A15096" w:rsidRPr="004D1C1B">
        <w:rPr>
          <w:spacing w:val="-4"/>
          <w:sz w:val="21"/>
          <w:szCs w:val="21"/>
          <w:lang w:val="en-GB"/>
        </w:rPr>
        <w:t>April</w:t>
      </w:r>
      <w:r w:rsidR="00DC6D28" w:rsidRPr="004D1C1B">
        <w:rPr>
          <w:spacing w:val="-4"/>
          <w:sz w:val="21"/>
          <w:szCs w:val="21"/>
          <w:lang w:val="en-GB"/>
        </w:rPr>
        <w:t xml:space="preserve"> 2026</w:t>
      </w:r>
    </w:p>
    <w:p w14:paraId="15F0CF19" w14:textId="77777777" w:rsidR="00697D50" w:rsidRPr="004D1C1B" w:rsidRDefault="00697D50" w:rsidP="00DC6D28">
      <w:pPr>
        <w:jc w:val="both"/>
        <w:rPr>
          <w:sz w:val="21"/>
          <w:szCs w:val="21"/>
          <w:lang w:val="en-GB"/>
        </w:rPr>
      </w:pPr>
    </w:p>
    <w:p w14:paraId="4BEA4E72" w14:textId="198F5070" w:rsidR="00A15096" w:rsidRPr="004D1C1B" w:rsidRDefault="00A15096">
      <w:pPr>
        <w:jc w:val="both"/>
        <w:rPr>
          <w:sz w:val="21"/>
          <w:szCs w:val="21"/>
          <w:lang w:val="en-GB"/>
        </w:rPr>
      </w:pPr>
      <w:r w:rsidRPr="004D1C1B">
        <w:rPr>
          <w:sz w:val="21"/>
          <w:szCs w:val="21"/>
          <w:lang w:val="en-GB"/>
        </w:rPr>
        <w:t xml:space="preserve">This webpage disclosure is reviewed at least annually and updated where there are material changes (e.g., launch of a new fund, updates to Regulation (EU) 2019/2088 of the European Parliament and of the Council of 27 November 2019 on sustainability-related disclosures in the financial services sector (the “SFDR”), </w:t>
      </w:r>
      <w:r w:rsidR="00445111" w:rsidRPr="004D1C1B">
        <w:rPr>
          <w:sz w:val="21"/>
          <w:szCs w:val="21"/>
          <w:lang w:val="en-GB"/>
        </w:rPr>
        <w:t xml:space="preserve">Regulation (EU) 2020/852 of the European Parliament and of the Council of 18 June 2020 on the establishment of a framework to facilitate sustainable investment, and amending Regulation (EU) 2019/2088 (the “TR”), </w:t>
      </w:r>
      <w:r w:rsidRPr="004D1C1B">
        <w:rPr>
          <w:sz w:val="21"/>
          <w:szCs w:val="21"/>
          <w:lang w:val="en-GB"/>
        </w:rPr>
        <w:t>Commission Delegated Regulation (EU) 2022/1288</w:t>
      </w:r>
      <w:r w:rsidR="00445111" w:rsidRPr="004D1C1B">
        <w:rPr>
          <w:sz w:val="21"/>
          <w:szCs w:val="21"/>
          <w:lang w:val="en-GB"/>
        </w:rPr>
        <w:t xml:space="preserve"> of 6 April 2022</w:t>
      </w:r>
      <w:r w:rsidRPr="004D1C1B">
        <w:rPr>
          <w:sz w:val="21"/>
          <w:szCs w:val="21"/>
          <w:lang w:val="en-GB"/>
        </w:rPr>
        <w:t xml:space="preserve">, </w:t>
      </w:r>
      <w:r w:rsidR="00445111" w:rsidRPr="004D1C1B">
        <w:rPr>
          <w:sz w:val="21"/>
          <w:szCs w:val="21"/>
          <w:lang w:val="en-GB"/>
        </w:rPr>
        <w:t xml:space="preserve">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 contractual documents, on websites and in periodic reports </w:t>
      </w:r>
      <w:r w:rsidRPr="004D1C1B">
        <w:rPr>
          <w:sz w:val="21"/>
          <w:szCs w:val="21"/>
          <w:lang w:val="en-GB"/>
        </w:rPr>
        <w:t>(the “RTS”), and other applicable regulatory technical standards adopted pursuant to the SFDR, or updates to the Firm’s policies and procedures).</w:t>
      </w:r>
    </w:p>
    <w:p w14:paraId="2BE6D547" w14:textId="77777777" w:rsidR="00A15096" w:rsidRPr="004D1C1B" w:rsidRDefault="00A15096" w:rsidP="00D90091">
      <w:pPr>
        <w:jc w:val="both"/>
        <w:rPr>
          <w:sz w:val="21"/>
          <w:szCs w:val="21"/>
          <w:lang w:val="en-GB"/>
        </w:rPr>
      </w:pPr>
    </w:p>
    <w:p w14:paraId="2704A228" w14:textId="77777777" w:rsidR="00CF64CF" w:rsidRPr="004D1C1B" w:rsidRDefault="00CF64CF" w:rsidP="00D90091">
      <w:pPr>
        <w:pStyle w:val="BodyText"/>
        <w:jc w:val="both"/>
        <w:rPr>
          <w:lang w:val="en-GB"/>
        </w:rPr>
      </w:pPr>
    </w:p>
    <w:p w14:paraId="77CD9093" w14:textId="77777777" w:rsidR="00CF64CF" w:rsidRPr="004D1C1B" w:rsidRDefault="00367AA2" w:rsidP="00D90091">
      <w:pPr>
        <w:pStyle w:val="Title"/>
        <w:spacing w:before="0"/>
        <w:ind w:left="0"/>
        <w:rPr>
          <w:color w:val="1E3763"/>
          <w:lang w:val="en-GB"/>
        </w:rPr>
      </w:pPr>
      <w:r w:rsidRPr="004D1C1B">
        <w:rPr>
          <w:color w:val="1E3763"/>
          <w:spacing w:val="-6"/>
          <w:lang w:val="en-GB"/>
        </w:rPr>
        <w:t>SUSTAINABILITY-RELATED</w:t>
      </w:r>
      <w:r w:rsidRPr="004D1C1B">
        <w:rPr>
          <w:color w:val="1E3763"/>
          <w:spacing w:val="2"/>
          <w:lang w:val="en-GB"/>
        </w:rPr>
        <w:t xml:space="preserve"> </w:t>
      </w:r>
      <w:r w:rsidRPr="004D1C1B">
        <w:rPr>
          <w:color w:val="1E3763"/>
          <w:spacing w:val="-6"/>
          <w:lang w:val="en-GB"/>
        </w:rPr>
        <w:t>DISCLOSURES</w:t>
      </w:r>
    </w:p>
    <w:p w14:paraId="1CC32E40" w14:textId="6A43B22B" w:rsidR="00A15096" w:rsidRPr="004D1C1B" w:rsidRDefault="00A15096">
      <w:pPr>
        <w:pStyle w:val="BodyText"/>
        <w:jc w:val="both"/>
        <w:rPr>
          <w:lang w:val="en-GB"/>
        </w:rPr>
      </w:pPr>
    </w:p>
    <w:p w14:paraId="5871F028" w14:textId="54BDC206" w:rsidR="004D1C1B" w:rsidRPr="004D1C1B" w:rsidRDefault="00A15096" w:rsidP="00D90091">
      <w:pPr>
        <w:jc w:val="both"/>
        <w:rPr>
          <w:lang w:val="en-GB"/>
        </w:rPr>
      </w:pPr>
      <w:r w:rsidRPr="004D1C1B">
        <w:rPr>
          <w:lang w:val="en-GB"/>
        </w:rPr>
        <w:t>The information below refers to activities and procedures related to the compliance of Invera Equity Partners</w:t>
      </w:r>
      <w:r w:rsidR="004D1C1B" w:rsidRPr="00A243AF">
        <w:rPr>
          <w:lang w:val="en-GB"/>
        </w:rPr>
        <w:t>’</w:t>
      </w:r>
      <w:r w:rsidRPr="004D1C1B">
        <w:rPr>
          <w:lang w:val="en-GB"/>
        </w:rPr>
        <w:t xml:space="preserve"> (the “Firm”)</w:t>
      </w:r>
      <w:r w:rsidR="004D1C1B" w:rsidRPr="004D1C1B">
        <w:rPr>
          <w:lang w:val="en-GB"/>
        </w:rPr>
        <w:t xml:space="preserve"> public website disclosures under the SFDR and the TR. Certain additional sustainability-related commitments applicable to Fund II under its constitutive documents and relevant investor side letters inform the Firm’s ESG processes; however, investor-specific rights, undertakings and reporting arrangements are set out in the relevant fund documentation and are not exhaustively repeated on this webpage.</w:t>
      </w:r>
    </w:p>
    <w:p w14:paraId="505243ED" w14:textId="77777777" w:rsidR="00A15096" w:rsidRPr="004D1C1B" w:rsidRDefault="00A15096" w:rsidP="00D90091">
      <w:pPr>
        <w:pStyle w:val="BodyText"/>
        <w:jc w:val="both"/>
        <w:rPr>
          <w:lang w:val="en-GB"/>
        </w:rPr>
      </w:pPr>
    </w:p>
    <w:p w14:paraId="6D91B6B4" w14:textId="128FFB52" w:rsidR="00480950" w:rsidRPr="004D1C1B" w:rsidRDefault="00480950" w:rsidP="00DC6D28">
      <w:pPr>
        <w:pStyle w:val="BodyText"/>
        <w:jc w:val="both"/>
        <w:rPr>
          <w:lang w:val="en-GB"/>
        </w:rPr>
      </w:pPr>
      <w:r w:rsidRPr="004D1C1B">
        <w:rPr>
          <w:lang w:val="en-GB"/>
        </w:rPr>
        <w:t>Invera currently manages two private equity funds:</w:t>
      </w:r>
    </w:p>
    <w:p w14:paraId="46193CDC" w14:textId="77777777" w:rsidR="00DC6D28" w:rsidRPr="004D1C1B" w:rsidRDefault="00DC6D28" w:rsidP="00D90091">
      <w:pPr>
        <w:pStyle w:val="BodyText"/>
        <w:jc w:val="both"/>
        <w:rPr>
          <w:lang w:val="en-GB"/>
        </w:rPr>
      </w:pPr>
    </w:p>
    <w:p w14:paraId="77946AFC" w14:textId="646B3DB9" w:rsidR="00480950" w:rsidRPr="004D1C1B" w:rsidRDefault="00480950" w:rsidP="00D90091">
      <w:pPr>
        <w:pStyle w:val="BodyText"/>
        <w:numPr>
          <w:ilvl w:val="0"/>
          <w:numId w:val="1"/>
        </w:numPr>
        <w:ind w:left="426" w:hanging="426"/>
        <w:jc w:val="both"/>
        <w:rPr>
          <w:lang w:val="en-GB"/>
        </w:rPr>
      </w:pPr>
      <w:r w:rsidRPr="004D1C1B">
        <w:rPr>
          <w:lang w:val="en-GB"/>
        </w:rPr>
        <w:t>Invera Private Equity Fund C.V. (“Fund I”) is classified as a financial product under Article 6 of the SFDR, which means it integrates sustainability risks into investment decisions without promoting environmental or social characteristics, and does not have sustainable investment as its objective; and</w:t>
      </w:r>
    </w:p>
    <w:p w14:paraId="24305283" w14:textId="767E4963" w:rsidR="00CF64CF" w:rsidRPr="004D1C1B" w:rsidRDefault="00480950" w:rsidP="00D90091">
      <w:pPr>
        <w:pStyle w:val="BodyText"/>
        <w:numPr>
          <w:ilvl w:val="0"/>
          <w:numId w:val="1"/>
        </w:numPr>
        <w:ind w:left="426" w:hanging="426"/>
        <w:jc w:val="both"/>
        <w:rPr>
          <w:lang w:val="en-GB"/>
        </w:rPr>
      </w:pPr>
      <w:r w:rsidRPr="004D1C1B">
        <w:rPr>
          <w:lang w:val="en-GB"/>
        </w:rPr>
        <w:t xml:space="preserve">Invera Private Equity Fund II C.V. (“Fund II”) is a newly launched fund classified as a financial product under Article 8 of the SFDR. It promotes environmental and social characteristics, applies minimum safeguards, and integrates </w:t>
      </w:r>
      <w:r w:rsidR="00445111" w:rsidRPr="004D1C1B">
        <w:rPr>
          <w:lang w:val="en-GB"/>
        </w:rPr>
        <w:t>environmental, social and governance (“</w:t>
      </w:r>
      <w:r w:rsidRPr="004D1C1B">
        <w:rPr>
          <w:lang w:val="en-GB"/>
        </w:rPr>
        <w:t>ESG</w:t>
      </w:r>
      <w:r w:rsidR="00445111" w:rsidRPr="004D1C1B">
        <w:rPr>
          <w:lang w:val="en-GB"/>
        </w:rPr>
        <w:t>”)</w:t>
      </w:r>
      <w:r w:rsidRPr="004D1C1B">
        <w:rPr>
          <w:lang w:val="en-GB"/>
        </w:rPr>
        <w:t xml:space="preserve"> factors into the investment process, in line with </w:t>
      </w:r>
      <w:proofErr w:type="spellStart"/>
      <w:r w:rsidRPr="004D1C1B">
        <w:rPr>
          <w:lang w:val="en-GB"/>
        </w:rPr>
        <w:t>Invera’s</w:t>
      </w:r>
      <w:proofErr w:type="spellEnd"/>
      <w:r w:rsidRPr="004D1C1B">
        <w:rPr>
          <w:lang w:val="en-GB"/>
        </w:rPr>
        <w:t xml:space="preserve"> Responsible Investment Policy and the SFDR Pre-Contractual Disclosure Annex</w:t>
      </w:r>
      <w:r w:rsidR="004D1C1B" w:rsidRPr="004D1C1B">
        <w:rPr>
          <w:lang w:val="en-GB"/>
        </w:rPr>
        <w:t>. Where relevant, additional sustainability-related commitments contained in Fund II’s constitutive documents and certain investor side letters also inform the ESG process applied to Fund II</w:t>
      </w:r>
      <w:r w:rsidRPr="004D1C1B">
        <w:rPr>
          <w:lang w:val="en-GB"/>
        </w:rPr>
        <w:t xml:space="preserve">; </w:t>
      </w:r>
    </w:p>
    <w:p w14:paraId="1820122B" w14:textId="77777777" w:rsidR="00DC6D28" w:rsidRPr="004D1C1B" w:rsidRDefault="00DC6D28" w:rsidP="00D90091">
      <w:pPr>
        <w:pStyle w:val="BodyText"/>
        <w:ind w:left="720"/>
        <w:jc w:val="both"/>
        <w:rPr>
          <w:lang w:val="en-GB"/>
        </w:rPr>
      </w:pPr>
    </w:p>
    <w:p w14:paraId="1A8949DA" w14:textId="05609702" w:rsidR="00480950" w:rsidRPr="004D1C1B" w:rsidRDefault="00480950" w:rsidP="00DC6D28">
      <w:pPr>
        <w:pStyle w:val="BodyText"/>
        <w:jc w:val="both"/>
        <w:rPr>
          <w:lang w:val="en-GB"/>
        </w:rPr>
      </w:pPr>
      <w:r w:rsidRPr="004D1C1B">
        <w:rPr>
          <w:lang w:val="en-GB"/>
        </w:rPr>
        <w:t xml:space="preserve">together, Fund I and Fund II are the products (the “Products”) managed by the Firm. </w:t>
      </w:r>
    </w:p>
    <w:p w14:paraId="52939540" w14:textId="77777777" w:rsidR="00505257" w:rsidRPr="004D1C1B" w:rsidRDefault="00505257" w:rsidP="00DC6D28">
      <w:pPr>
        <w:pStyle w:val="BodyText"/>
        <w:jc w:val="both"/>
        <w:rPr>
          <w:lang w:val="en-GB"/>
        </w:rPr>
      </w:pPr>
    </w:p>
    <w:p w14:paraId="6C568139" w14:textId="5F25813F" w:rsidR="00505257" w:rsidRPr="004D1C1B" w:rsidRDefault="00505257" w:rsidP="00DC6D28">
      <w:pPr>
        <w:pStyle w:val="BodyText"/>
        <w:jc w:val="both"/>
        <w:rPr>
          <w:lang w:val="en-GB"/>
        </w:rPr>
      </w:pPr>
      <w:r w:rsidRPr="004D1C1B">
        <w:rPr>
          <w:lang w:val="en-GB"/>
        </w:rPr>
        <w:t xml:space="preserve">The disclosures below include both entity-level disclosures applicable to the Firm and product-level disclosures applicable to </w:t>
      </w:r>
      <w:r w:rsidR="00A15096" w:rsidRPr="004D1C1B">
        <w:rPr>
          <w:lang w:val="en-GB"/>
        </w:rPr>
        <w:t xml:space="preserve">Fund I as an Article 6 Fund and </w:t>
      </w:r>
      <w:r w:rsidRPr="004D1C1B">
        <w:rPr>
          <w:lang w:val="en-GB"/>
        </w:rPr>
        <w:t>Fund II as an Article 8 financial product under the SFDR.</w:t>
      </w:r>
      <w:r w:rsidR="004D1C1B" w:rsidRPr="004D1C1B">
        <w:rPr>
          <w:lang w:val="en-GB"/>
        </w:rPr>
        <w:t xml:space="preserve"> For Fund II, these website disclosures should be read together with the applicable SFDR pre-contractual disclosures and any periodic disclosures prepared under applicable law.</w:t>
      </w:r>
    </w:p>
    <w:p w14:paraId="2F79BF2C" w14:textId="77777777" w:rsidR="00DC6D28" w:rsidRPr="004D1C1B" w:rsidRDefault="00DC6D28" w:rsidP="00D90091">
      <w:pPr>
        <w:pStyle w:val="BodyText"/>
        <w:jc w:val="both"/>
        <w:rPr>
          <w:lang w:val="en-GB"/>
        </w:rPr>
      </w:pPr>
    </w:p>
    <w:p w14:paraId="6CDA2FD9" w14:textId="77777777" w:rsidR="00CF64CF" w:rsidRPr="004D1C1B" w:rsidRDefault="00367AA2" w:rsidP="00D90091">
      <w:pPr>
        <w:pStyle w:val="BodyText"/>
        <w:jc w:val="both"/>
        <w:rPr>
          <w:lang w:val="en-GB"/>
        </w:rPr>
      </w:pPr>
      <w:r w:rsidRPr="004D1C1B">
        <w:rPr>
          <w:lang w:val="en-GB"/>
        </w:rPr>
        <w:t>The above-mentioned regulatory requirements aim to achieve greater transparency regarding how financial</w:t>
      </w:r>
      <w:r w:rsidRPr="004D1C1B">
        <w:rPr>
          <w:spacing w:val="-5"/>
          <w:lang w:val="en-GB"/>
        </w:rPr>
        <w:t xml:space="preserve"> </w:t>
      </w:r>
      <w:r w:rsidRPr="004D1C1B">
        <w:rPr>
          <w:lang w:val="en-GB"/>
        </w:rPr>
        <w:t>market</w:t>
      </w:r>
      <w:r w:rsidRPr="004D1C1B">
        <w:rPr>
          <w:spacing w:val="-7"/>
          <w:lang w:val="en-GB"/>
        </w:rPr>
        <w:t xml:space="preserve"> </w:t>
      </w:r>
      <w:r w:rsidRPr="004D1C1B">
        <w:rPr>
          <w:lang w:val="en-GB"/>
        </w:rPr>
        <w:t>participants</w:t>
      </w:r>
      <w:r w:rsidRPr="004D1C1B">
        <w:rPr>
          <w:spacing w:val="-7"/>
          <w:lang w:val="en-GB"/>
        </w:rPr>
        <w:t xml:space="preserve"> </w:t>
      </w:r>
      <w:r w:rsidRPr="004D1C1B">
        <w:rPr>
          <w:lang w:val="en-GB"/>
        </w:rPr>
        <w:t>take</w:t>
      </w:r>
      <w:r w:rsidRPr="004D1C1B">
        <w:rPr>
          <w:spacing w:val="-4"/>
          <w:lang w:val="en-GB"/>
        </w:rPr>
        <w:t xml:space="preserve"> </w:t>
      </w:r>
      <w:r w:rsidRPr="004D1C1B">
        <w:rPr>
          <w:lang w:val="en-GB"/>
        </w:rPr>
        <w:t>sustainability</w:t>
      </w:r>
      <w:r w:rsidRPr="004D1C1B">
        <w:rPr>
          <w:spacing w:val="-2"/>
          <w:lang w:val="en-GB"/>
        </w:rPr>
        <w:t xml:space="preserve"> </w:t>
      </w:r>
      <w:r w:rsidRPr="004D1C1B">
        <w:rPr>
          <w:lang w:val="en-GB"/>
        </w:rPr>
        <w:t>factors</w:t>
      </w:r>
      <w:r w:rsidRPr="004D1C1B">
        <w:rPr>
          <w:spacing w:val="-7"/>
          <w:lang w:val="en-GB"/>
        </w:rPr>
        <w:t xml:space="preserve"> </w:t>
      </w:r>
      <w:r w:rsidRPr="004D1C1B">
        <w:rPr>
          <w:lang w:val="en-GB"/>
        </w:rPr>
        <w:t>into</w:t>
      </w:r>
      <w:r w:rsidRPr="004D1C1B">
        <w:rPr>
          <w:spacing w:val="-5"/>
          <w:lang w:val="en-GB"/>
        </w:rPr>
        <w:t xml:space="preserve"> </w:t>
      </w:r>
      <w:r w:rsidRPr="004D1C1B">
        <w:rPr>
          <w:lang w:val="en-GB"/>
        </w:rPr>
        <w:t>account</w:t>
      </w:r>
      <w:r w:rsidRPr="004D1C1B">
        <w:rPr>
          <w:spacing w:val="-7"/>
          <w:lang w:val="en-GB"/>
        </w:rPr>
        <w:t xml:space="preserve"> </w:t>
      </w:r>
      <w:r w:rsidRPr="004D1C1B">
        <w:rPr>
          <w:lang w:val="en-GB"/>
        </w:rPr>
        <w:t>when</w:t>
      </w:r>
      <w:r w:rsidRPr="004D1C1B">
        <w:rPr>
          <w:spacing w:val="-5"/>
          <w:lang w:val="en-GB"/>
        </w:rPr>
        <w:t xml:space="preserve"> </w:t>
      </w:r>
      <w:r w:rsidRPr="004D1C1B">
        <w:rPr>
          <w:lang w:val="en-GB"/>
        </w:rPr>
        <w:t>making</w:t>
      </w:r>
      <w:r w:rsidRPr="004D1C1B">
        <w:rPr>
          <w:spacing w:val="-5"/>
          <w:lang w:val="en-GB"/>
        </w:rPr>
        <w:t xml:space="preserve"> </w:t>
      </w:r>
      <w:r w:rsidRPr="004D1C1B">
        <w:rPr>
          <w:lang w:val="en-GB"/>
        </w:rPr>
        <w:t>business</w:t>
      </w:r>
      <w:r w:rsidRPr="004D1C1B">
        <w:rPr>
          <w:spacing w:val="-6"/>
          <w:lang w:val="en-GB"/>
        </w:rPr>
        <w:t xml:space="preserve"> </w:t>
      </w:r>
      <w:r w:rsidRPr="004D1C1B">
        <w:rPr>
          <w:lang w:val="en-GB"/>
        </w:rPr>
        <w:t>and</w:t>
      </w:r>
      <w:r w:rsidRPr="004D1C1B">
        <w:rPr>
          <w:spacing w:val="-6"/>
          <w:lang w:val="en-GB"/>
        </w:rPr>
        <w:t xml:space="preserve"> </w:t>
      </w:r>
      <w:r w:rsidRPr="004D1C1B">
        <w:rPr>
          <w:lang w:val="en-GB"/>
        </w:rPr>
        <w:t>investment decisions, and how sustainability-related risks are considered in their business and investment decisions. The main purpose is to give investors better insight and information related to sustainability in a simple, comparable,</w:t>
      </w:r>
      <w:r w:rsidRPr="004D1C1B">
        <w:rPr>
          <w:spacing w:val="-6"/>
          <w:lang w:val="en-GB"/>
        </w:rPr>
        <w:t xml:space="preserve"> </w:t>
      </w:r>
      <w:r w:rsidRPr="004D1C1B">
        <w:rPr>
          <w:lang w:val="en-GB"/>
        </w:rPr>
        <w:t>and</w:t>
      </w:r>
      <w:r w:rsidRPr="004D1C1B">
        <w:rPr>
          <w:spacing w:val="-3"/>
          <w:lang w:val="en-GB"/>
        </w:rPr>
        <w:t xml:space="preserve"> </w:t>
      </w:r>
      <w:r w:rsidRPr="004D1C1B">
        <w:rPr>
          <w:lang w:val="en-GB"/>
        </w:rPr>
        <w:t>comprehensible</w:t>
      </w:r>
      <w:r w:rsidRPr="004D1C1B">
        <w:rPr>
          <w:spacing w:val="-5"/>
          <w:lang w:val="en-GB"/>
        </w:rPr>
        <w:t xml:space="preserve"> </w:t>
      </w:r>
      <w:r w:rsidRPr="004D1C1B">
        <w:rPr>
          <w:lang w:val="en-GB"/>
        </w:rPr>
        <w:t>way</w:t>
      </w:r>
      <w:r w:rsidRPr="004D1C1B">
        <w:rPr>
          <w:spacing w:val="-6"/>
          <w:lang w:val="en-GB"/>
        </w:rPr>
        <w:t xml:space="preserve"> </w:t>
      </w:r>
      <w:proofErr w:type="gramStart"/>
      <w:r w:rsidRPr="004D1C1B">
        <w:rPr>
          <w:lang w:val="en-GB"/>
        </w:rPr>
        <w:t>in</w:t>
      </w:r>
      <w:r w:rsidRPr="004D1C1B">
        <w:rPr>
          <w:spacing w:val="-6"/>
          <w:lang w:val="en-GB"/>
        </w:rPr>
        <w:t xml:space="preserve"> </w:t>
      </w:r>
      <w:r w:rsidRPr="004D1C1B">
        <w:rPr>
          <w:lang w:val="en-GB"/>
        </w:rPr>
        <w:t>order</w:t>
      </w:r>
      <w:r w:rsidRPr="004D1C1B">
        <w:rPr>
          <w:spacing w:val="-6"/>
          <w:lang w:val="en-GB"/>
        </w:rPr>
        <w:t xml:space="preserve"> </w:t>
      </w:r>
      <w:r w:rsidRPr="004D1C1B">
        <w:rPr>
          <w:lang w:val="en-GB"/>
        </w:rPr>
        <w:t>to</w:t>
      </w:r>
      <w:proofErr w:type="gramEnd"/>
      <w:r w:rsidRPr="004D1C1B">
        <w:rPr>
          <w:spacing w:val="-6"/>
          <w:lang w:val="en-GB"/>
        </w:rPr>
        <w:t xml:space="preserve"> </w:t>
      </w:r>
      <w:r w:rsidRPr="004D1C1B">
        <w:rPr>
          <w:lang w:val="en-GB"/>
        </w:rPr>
        <w:t>make</w:t>
      </w:r>
      <w:r w:rsidRPr="004D1C1B">
        <w:rPr>
          <w:spacing w:val="-9"/>
          <w:lang w:val="en-GB"/>
        </w:rPr>
        <w:t xml:space="preserve"> </w:t>
      </w:r>
      <w:r w:rsidRPr="004D1C1B">
        <w:rPr>
          <w:lang w:val="en-GB"/>
        </w:rPr>
        <w:t>investment</w:t>
      </w:r>
      <w:r w:rsidRPr="004D1C1B">
        <w:rPr>
          <w:spacing w:val="-6"/>
          <w:lang w:val="en-GB"/>
        </w:rPr>
        <w:t xml:space="preserve"> </w:t>
      </w:r>
      <w:r w:rsidRPr="004D1C1B">
        <w:rPr>
          <w:lang w:val="en-GB"/>
        </w:rPr>
        <w:t>decisions</w:t>
      </w:r>
      <w:r w:rsidRPr="004D1C1B">
        <w:rPr>
          <w:spacing w:val="-5"/>
          <w:lang w:val="en-GB"/>
        </w:rPr>
        <w:t xml:space="preserve"> </w:t>
      </w:r>
      <w:r w:rsidRPr="004D1C1B">
        <w:rPr>
          <w:lang w:val="en-GB"/>
        </w:rPr>
        <w:t>in</w:t>
      </w:r>
      <w:r w:rsidRPr="004D1C1B">
        <w:rPr>
          <w:spacing w:val="-5"/>
          <w:lang w:val="en-GB"/>
        </w:rPr>
        <w:t xml:space="preserve"> </w:t>
      </w:r>
      <w:r w:rsidRPr="004D1C1B">
        <w:rPr>
          <w:lang w:val="en-GB"/>
        </w:rPr>
        <w:t>a</w:t>
      </w:r>
      <w:r w:rsidRPr="004D1C1B">
        <w:rPr>
          <w:spacing w:val="-5"/>
          <w:lang w:val="en-GB"/>
        </w:rPr>
        <w:t xml:space="preserve"> </w:t>
      </w:r>
      <w:r w:rsidRPr="004D1C1B">
        <w:rPr>
          <w:lang w:val="en-GB"/>
        </w:rPr>
        <w:t>specific</w:t>
      </w:r>
      <w:r w:rsidRPr="004D1C1B">
        <w:rPr>
          <w:spacing w:val="-4"/>
          <w:lang w:val="en-GB"/>
        </w:rPr>
        <w:t xml:space="preserve"> </w:t>
      </w:r>
      <w:r w:rsidRPr="004D1C1B">
        <w:rPr>
          <w:lang w:val="en-GB"/>
        </w:rPr>
        <w:t>financial</w:t>
      </w:r>
      <w:r w:rsidRPr="004D1C1B">
        <w:rPr>
          <w:spacing w:val="-6"/>
          <w:lang w:val="en-GB"/>
        </w:rPr>
        <w:t xml:space="preserve"> </w:t>
      </w:r>
      <w:r w:rsidRPr="004D1C1B">
        <w:rPr>
          <w:lang w:val="en-GB"/>
        </w:rPr>
        <w:t>product.</w:t>
      </w:r>
    </w:p>
    <w:p w14:paraId="565225BB" w14:textId="77777777" w:rsidR="00CF64CF" w:rsidRPr="004D1C1B" w:rsidRDefault="00CF64CF" w:rsidP="00D90091">
      <w:pPr>
        <w:pStyle w:val="BodyText"/>
        <w:jc w:val="both"/>
        <w:rPr>
          <w:lang w:val="en-GB"/>
        </w:rPr>
      </w:pPr>
    </w:p>
    <w:p w14:paraId="0F28CBA6" w14:textId="797FC538" w:rsidR="00CB511F" w:rsidRPr="004D1C1B" w:rsidRDefault="00CB511F" w:rsidP="00A17706">
      <w:pPr>
        <w:pStyle w:val="BodyText"/>
        <w:jc w:val="both"/>
        <w:outlineLvl w:val="0"/>
        <w:rPr>
          <w:lang w:val="en-GB"/>
        </w:rPr>
      </w:pPr>
    </w:p>
    <w:sectPr w:rsidR="00CB511F" w:rsidRPr="004D1C1B" w:rsidSect="00D90091">
      <w:headerReference w:type="default" r:id="rId10"/>
      <w:footerReference w:type="even" r:id="rId11"/>
      <w:footerReference w:type="default" r:id="rId12"/>
      <w:pgSz w:w="11910" w:h="16840"/>
      <w:pgMar w:top="1843" w:right="127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6BD1" w14:textId="77777777" w:rsidR="00D20201" w:rsidRDefault="00D20201" w:rsidP="00697D50">
      <w:r>
        <w:separator/>
      </w:r>
    </w:p>
  </w:endnote>
  <w:endnote w:type="continuationSeparator" w:id="0">
    <w:p w14:paraId="376B79DD" w14:textId="77777777" w:rsidR="00D20201" w:rsidRDefault="00D20201" w:rsidP="0069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2097874"/>
      <w:docPartObj>
        <w:docPartGallery w:val="Page Numbers (Bottom of Page)"/>
        <w:docPartUnique/>
      </w:docPartObj>
    </w:sdtPr>
    <w:sdtEndPr>
      <w:rPr>
        <w:rStyle w:val="PageNumber"/>
      </w:rPr>
    </w:sdtEndPr>
    <w:sdtContent>
      <w:p w14:paraId="478A6676" w14:textId="6E9B841E" w:rsidR="00DC6D28" w:rsidRDefault="00DC6D28" w:rsidP="00E11C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F0D790" w14:textId="77777777" w:rsidR="00DC6D28" w:rsidRDefault="00DC6D28" w:rsidP="00D900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872965919"/>
      <w:docPartObj>
        <w:docPartGallery w:val="Page Numbers (Bottom of Page)"/>
        <w:docPartUnique/>
      </w:docPartObj>
    </w:sdtPr>
    <w:sdtEndPr>
      <w:rPr>
        <w:rStyle w:val="PageNumber"/>
      </w:rPr>
    </w:sdtEndPr>
    <w:sdtContent>
      <w:p w14:paraId="0D13076A" w14:textId="34DDCD8C" w:rsidR="00DC6D28" w:rsidRPr="00D90091" w:rsidRDefault="00DC6D28" w:rsidP="00E11C78">
        <w:pPr>
          <w:pStyle w:val="Footer"/>
          <w:framePr w:wrap="none" w:vAnchor="text" w:hAnchor="margin" w:xAlign="right" w:y="1"/>
          <w:rPr>
            <w:rStyle w:val="PageNumber"/>
            <w:sz w:val="21"/>
            <w:szCs w:val="21"/>
          </w:rPr>
        </w:pPr>
        <w:r w:rsidRPr="00D90091">
          <w:rPr>
            <w:rStyle w:val="PageNumber"/>
            <w:sz w:val="21"/>
            <w:szCs w:val="21"/>
          </w:rPr>
          <w:fldChar w:fldCharType="begin"/>
        </w:r>
        <w:r w:rsidRPr="00D90091">
          <w:rPr>
            <w:rStyle w:val="PageNumber"/>
            <w:sz w:val="21"/>
            <w:szCs w:val="21"/>
          </w:rPr>
          <w:instrText xml:space="preserve"> PAGE </w:instrText>
        </w:r>
        <w:r w:rsidRPr="00D90091">
          <w:rPr>
            <w:rStyle w:val="PageNumber"/>
            <w:sz w:val="21"/>
            <w:szCs w:val="21"/>
          </w:rPr>
          <w:fldChar w:fldCharType="separate"/>
        </w:r>
        <w:r w:rsidRPr="00D90091">
          <w:rPr>
            <w:rStyle w:val="PageNumber"/>
            <w:noProof/>
            <w:sz w:val="21"/>
            <w:szCs w:val="21"/>
          </w:rPr>
          <w:t>5</w:t>
        </w:r>
        <w:r w:rsidRPr="00D90091">
          <w:rPr>
            <w:rStyle w:val="PageNumber"/>
            <w:sz w:val="21"/>
            <w:szCs w:val="21"/>
          </w:rPr>
          <w:fldChar w:fldCharType="end"/>
        </w:r>
      </w:p>
    </w:sdtContent>
  </w:sdt>
  <w:p w14:paraId="60CBFF6E" w14:textId="77777777" w:rsidR="00DC6D28" w:rsidRDefault="00DC6D28" w:rsidP="00D900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09518" w14:textId="77777777" w:rsidR="00D20201" w:rsidRDefault="00D20201" w:rsidP="00697D50">
      <w:r>
        <w:separator/>
      </w:r>
    </w:p>
  </w:footnote>
  <w:footnote w:type="continuationSeparator" w:id="0">
    <w:p w14:paraId="5DF3D8A3" w14:textId="77777777" w:rsidR="00D20201" w:rsidRDefault="00D20201" w:rsidP="00697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0A2B" w14:textId="48969C82" w:rsidR="00697D50" w:rsidRDefault="00697D50">
    <w:pPr>
      <w:pStyle w:val="Header"/>
    </w:pPr>
    <w:r w:rsidRPr="00D90091">
      <w:rPr>
        <w:noProof/>
        <w:sz w:val="19"/>
        <w:lang w:val="en-GB"/>
      </w:rPr>
      <w:drawing>
        <wp:anchor distT="0" distB="0" distL="0" distR="0" simplePos="0" relativeHeight="251659264" behindDoc="0" locked="0" layoutInCell="1" allowOverlap="1" wp14:anchorId="54FEFD05" wp14:editId="553D81D5">
          <wp:simplePos x="0" y="0"/>
          <wp:positionH relativeFrom="page">
            <wp:posOffset>809625</wp:posOffset>
          </wp:positionH>
          <wp:positionV relativeFrom="paragraph">
            <wp:posOffset>0</wp:posOffset>
          </wp:positionV>
          <wp:extent cx="877146" cy="403013"/>
          <wp:effectExtent l="0" t="0" r="0" b="0"/>
          <wp:wrapNone/>
          <wp:docPr id="9869579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7146" cy="403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B36"/>
    <w:multiLevelType w:val="hybridMultilevel"/>
    <w:tmpl w:val="2F8689D2"/>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1" w15:restartNumberingAfterBreak="0">
    <w:nsid w:val="2BFA5317"/>
    <w:multiLevelType w:val="hybridMultilevel"/>
    <w:tmpl w:val="492EF87C"/>
    <w:lvl w:ilvl="0" w:tplc="DF0AFBE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7662DB"/>
    <w:multiLevelType w:val="hybridMultilevel"/>
    <w:tmpl w:val="4FE6B3DE"/>
    <w:lvl w:ilvl="0" w:tplc="AC388E58">
      <w:start w:val="1"/>
      <w:numFmt w:val="lowerRoman"/>
      <w:lvlText w:val="(%1)"/>
      <w:lvlJc w:val="left"/>
      <w:pPr>
        <w:ind w:left="846" w:hanging="360"/>
      </w:pPr>
      <w:rPr>
        <w:rFonts w:hint="default"/>
      </w:rPr>
    </w:lvl>
    <w:lvl w:ilvl="1" w:tplc="08090019" w:tentative="1">
      <w:start w:val="1"/>
      <w:numFmt w:val="lowerLetter"/>
      <w:lvlText w:val="%2."/>
      <w:lvlJc w:val="left"/>
      <w:pPr>
        <w:ind w:left="1566" w:hanging="360"/>
      </w:pPr>
    </w:lvl>
    <w:lvl w:ilvl="2" w:tplc="0809001B" w:tentative="1">
      <w:start w:val="1"/>
      <w:numFmt w:val="lowerRoman"/>
      <w:lvlText w:val="%3."/>
      <w:lvlJc w:val="right"/>
      <w:pPr>
        <w:ind w:left="2286" w:hanging="180"/>
      </w:pPr>
    </w:lvl>
    <w:lvl w:ilvl="3" w:tplc="0809000F" w:tentative="1">
      <w:start w:val="1"/>
      <w:numFmt w:val="decimal"/>
      <w:lvlText w:val="%4."/>
      <w:lvlJc w:val="left"/>
      <w:pPr>
        <w:ind w:left="3006" w:hanging="360"/>
      </w:pPr>
    </w:lvl>
    <w:lvl w:ilvl="4" w:tplc="08090019" w:tentative="1">
      <w:start w:val="1"/>
      <w:numFmt w:val="lowerLetter"/>
      <w:lvlText w:val="%5."/>
      <w:lvlJc w:val="left"/>
      <w:pPr>
        <w:ind w:left="3726" w:hanging="360"/>
      </w:pPr>
    </w:lvl>
    <w:lvl w:ilvl="5" w:tplc="0809001B" w:tentative="1">
      <w:start w:val="1"/>
      <w:numFmt w:val="lowerRoman"/>
      <w:lvlText w:val="%6."/>
      <w:lvlJc w:val="right"/>
      <w:pPr>
        <w:ind w:left="4446" w:hanging="180"/>
      </w:pPr>
    </w:lvl>
    <w:lvl w:ilvl="6" w:tplc="0809000F" w:tentative="1">
      <w:start w:val="1"/>
      <w:numFmt w:val="decimal"/>
      <w:lvlText w:val="%7."/>
      <w:lvlJc w:val="left"/>
      <w:pPr>
        <w:ind w:left="5166" w:hanging="360"/>
      </w:pPr>
    </w:lvl>
    <w:lvl w:ilvl="7" w:tplc="08090019" w:tentative="1">
      <w:start w:val="1"/>
      <w:numFmt w:val="lowerLetter"/>
      <w:lvlText w:val="%8."/>
      <w:lvlJc w:val="left"/>
      <w:pPr>
        <w:ind w:left="5886" w:hanging="360"/>
      </w:pPr>
    </w:lvl>
    <w:lvl w:ilvl="8" w:tplc="0809001B" w:tentative="1">
      <w:start w:val="1"/>
      <w:numFmt w:val="lowerRoman"/>
      <w:lvlText w:val="%9."/>
      <w:lvlJc w:val="right"/>
      <w:pPr>
        <w:ind w:left="6606" w:hanging="180"/>
      </w:pPr>
    </w:lvl>
  </w:abstractNum>
  <w:abstractNum w:abstractNumId="3" w15:restartNumberingAfterBreak="0">
    <w:nsid w:val="5E634991"/>
    <w:multiLevelType w:val="hybridMultilevel"/>
    <w:tmpl w:val="E4A04C06"/>
    <w:lvl w:ilvl="0" w:tplc="89E0D8EC">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3915A34"/>
    <w:multiLevelType w:val="hybridMultilevel"/>
    <w:tmpl w:val="7FCEA922"/>
    <w:lvl w:ilvl="0" w:tplc="AC388E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709118">
    <w:abstractNumId w:val="2"/>
  </w:num>
  <w:num w:numId="2" w16cid:durableId="2112820414">
    <w:abstractNumId w:val="4"/>
  </w:num>
  <w:num w:numId="3" w16cid:durableId="721250407">
    <w:abstractNumId w:val="0"/>
  </w:num>
  <w:num w:numId="4" w16cid:durableId="62721854">
    <w:abstractNumId w:val="3"/>
  </w:num>
  <w:num w:numId="5" w16cid:durableId="199028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CF"/>
    <w:rsid w:val="0003231D"/>
    <w:rsid w:val="000E2D25"/>
    <w:rsid w:val="00105596"/>
    <w:rsid w:val="001250EA"/>
    <w:rsid w:val="00131CEB"/>
    <w:rsid w:val="001E0AC7"/>
    <w:rsid w:val="0025584C"/>
    <w:rsid w:val="00367AA2"/>
    <w:rsid w:val="003A2AAD"/>
    <w:rsid w:val="00445111"/>
    <w:rsid w:val="00457DB8"/>
    <w:rsid w:val="00480950"/>
    <w:rsid w:val="004D1C1B"/>
    <w:rsid w:val="004D58A3"/>
    <w:rsid w:val="004F334F"/>
    <w:rsid w:val="00505257"/>
    <w:rsid w:val="005D7C21"/>
    <w:rsid w:val="00601642"/>
    <w:rsid w:val="0067676F"/>
    <w:rsid w:val="006900C1"/>
    <w:rsid w:val="00697D50"/>
    <w:rsid w:val="006A291D"/>
    <w:rsid w:val="006A2D8C"/>
    <w:rsid w:val="006B32F1"/>
    <w:rsid w:val="006D328C"/>
    <w:rsid w:val="00707C62"/>
    <w:rsid w:val="00834FBC"/>
    <w:rsid w:val="00876B77"/>
    <w:rsid w:val="00886A40"/>
    <w:rsid w:val="008D1562"/>
    <w:rsid w:val="008E5B95"/>
    <w:rsid w:val="00900C93"/>
    <w:rsid w:val="00941BA8"/>
    <w:rsid w:val="009D4941"/>
    <w:rsid w:val="00A03CC9"/>
    <w:rsid w:val="00A075BA"/>
    <w:rsid w:val="00A15096"/>
    <w:rsid w:val="00A17706"/>
    <w:rsid w:val="00AA597D"/>
    <w:rsid w:val="00B022FC"/>
    <w:rsid w:val="00B2576D"/>
    <w:rsid w:val="00B3642F"/>
    <w:rsid w:val="00B460F1"/>
    <w:rsid w:val="00BA4D42"/>
    <w:rsid w:val="00BE4355"/>
    <w:rsid w:val="00BF7E4E"/>
    <w:rsid w:val="00C22C36"/>
    <w:rsid w:val="00C4054A"/>
    <w:rsid w:val="00C6111A"/>
    <w:rsid w:val="00CB511F"/>
    <w:rsid w:val="00CF64CF"/>
    <w:rsid w:val="00D20201"/>
    <w:rsid w:val="00D90091"/>
    <w:rsid w:val="00DC6D28"/>
    <w:rsid w:val="00ED1395"/>
    <w:rsid w:val="00EF19FE"/>
    <w:rsid w:val="00F3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3385"/>
  <w15:docId w15:val="{5DAA03D4-D5CE-904C-A01D-8E641CCB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
      <w:outlineLvl w:val="0"/>
    </w:pPr>
    <w:rPr>
      <w:b/>
      <w:bCs/>
      <w:sz w:val="25"/>
      <w:szCs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
      <w:ind w:left="3"/>
      <w:jc w:val="center"/>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F7E4E"/>
    <w:pPr>
      <w:widowControl/>
      <w:autoSpaceDE/>
      <w:autoSpaceDN/>
    </w:pPr>
    <w:rPr>
      <w:rFonts w:ascii="Calibri" w:eastAsia="Calibri" w:hAnsi="Calibri" w:cs="Calibri"/>
    </w:rPr>
  </w:style>
  <w:style w:type="paragraph" w:styleId="Header">
    <w:name w:val="header"/>
    <w:basedOn w:val="Normal"/>
    <w:link w:val="HeaderChar"/>
    <w:uiPriority w:val="99"/>
    <w:unhideWhenUsed/>
    <w:rsid w:val="00697D50"/>
    <w:pPr>
      <w:tabs>
        <w:tab w:val="center" w:pos="4536"/>
        <w:tab w:val="right" w:pos="9072"/>
      </w:tabs>
    </w:pPr>
  </w:style>
  <w:style w:type="character" w:customStyle="1" w:styleId="HeaderChar">
    <w:name w:val="Header Char"/>
    <w:basedOn w:val="DefaultParagraphFont"/>
    <w:link w:val="Header"/>
    <w:uiPriority w:val="99"/>
    <w:rsid w:val="00697D50"/>
    <w:rPr>
      <w:rFonts w:ascii="Calibri" w:eastAsia="Calibri" w:hAnsi="Calibri" w:cs="Calibri"/>
    </w:rPr>
  </w:style>
  <w:style w:type="paragraph" w:styleId="Footer">
    <w:name w:val="footer"/>
    <w:basedOn w:val="Normal"/>
    <w:link w:val="FooterChar"/>
    <w:uiPriority w:val="99"/>
    <w:unhideWhenUsed/>
    <w:rsid w:val="00697D50"/>
    <w:pPr>
      <w:tabs>
        <w:tab w:val="center" w:pos="4536"/>
        <w:tab w:val="right" w:pos="9072"/>
      </w:tabs>
    </w:pPr>
  </w:style>
  <w:style w:type="character" w:customStyle="1" w:styleId="FooterChar">
    <w:name w:val="Footer Char"/>
    <w:basedOn w:val="DefaultParagraphFont"/>
    <w:link w:val="Footer"/>
    <w:uiPriority w:val="99"/>
    <w:rsid w:val="00697D50"/>
    <w:rPr>
      <w:rFonts w:ascii="Calibri" w:eastAsia="Calibri" w:hAnsi="Calibri" w:cs="Calibri"/>
    </w:rPr>
  </w:style>
  <w:style w:type="character" w:styleId="CommentReference">
    <w:name w:val="annotation reference"/>
    <w:basedOn w:val="DefaultParagraphFont"/>
    <w:uiPriority w:val="99"/>
    <w:semiHidden/>
    <w:unhideWhenUsed/>
    <w:rsid w:val="00C4054A"/>
    <w:rPr>
      <w:sz w:val="16"/>
      <w:szCs w:val="16"/>
    </w:rPr>
  </w:style>
  <w:style w:type="paragraph" w:styleId="CommentText">
    <w:name w:val="annotation text"/>
    <w:basedOn w:val="Normal"/>
    <w:link w:val="CommentTextChar"/>
    <w:uiPriority w:val="99"/>
    <w:unhideWhenUsed/>
    <w:rsid w:val="00C4054A"/>
    <w:rPr>
      <w:sz w:val="20"/>
      <w:szCs w:val="20"/>
    </w:rPr>
  </w:style>
  <w:style w:type="character" w:customStyle="1" w:styleId="CommentTextChar">
    <w:name w:val="Comment Text Char"/>
    <w:basedOn w:val="DefaultParagraphFont"/>
    <w:link w:val="CommentText"/>
    <w:uiPriority w:val="99"/>
    <w:rsid w:val="00C405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4054A"/>
    <w:rPr>
      <w:b/>
      <w:bCs/>
    </w:rPr>
  </w:style>
  <w:style w:type="character" w:customStyle="1" w:styleId="CommentSubjectChar">
    <w:name w:val="Comment Subject Char"/>
    <w:basedOn w:val="CommentTextChar"/>
    <w:link w:val="CommentSubject"/>
    <w:uiPriority w:val="99"/>
    <w:semiHidden/>
    <w:rsid w:val="00C4054A"/>
    <w:rPr>
      <w:rFonts w:ascii="Calibri" w:eastAsia="Calibri" w:hAnsi="Calibri" w:cs="Calibri"/>
      <w:b/>
      <w:bCs/>
      <w:sz w:val="20"/>
      <w:szCs w:val="20"/>
    </w:rPr>
  </w:style>
  <w:style w:type="character" w:styleId="PageNumber">
    <w:name w:val="page number"/>
    <w:basedOn w:val="DefaultParagraphFont"/>
    <w:uiPriority w:val="99"/>
    <w:semiHidden/>
    <w:unhideWhenUsed/>
    <w:rsid w:val="00DC6D28"/>
  </w:style>
  <w:style w:type="paragraph" w:customStyle="1" w:styleId="Heading1Custom">
    <w:name w:val="Heading 1 Custom"/>
    <w:basedOn w:val="Heading1"/>
    <w:qFormat/>
    <w:rsid w:val="00DC6D28"/>
    <w:pPr>
      <w:ind w:left="0"/>
      <w:jc w:val="both"/>
    </w:pPr>
    <w:rPr>
      <w:color w:val="1E3763"/>
      <w:u w:color="1E3763"/>
      <w:lang w:val="en-GB"/>
    </w:rPr>
  </w:style>
  <w:style w:type="paragraph" w:customStyle="1" w:styleId="Heading2Custom">
    <w:name w:val="Heading 2 Custom"/>
    <w:basedOn w:val="Heading1Custom"/>
    <w:qFormat/>
    <w:rsid w:val="00DC6D28"/>
    <w:rPr>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4F7DE2609A1E46857CDC2A7D8360C9" ma:contentTypeVersion="21" ma:contentTypeDescription="Create a new document." ma:contentTypeScope="" ma:versionID="9ec65eaf23c24a0465f0823def152cc8">
  <xsd:schema xmlns:xsd="http://www.w3.org/2001/XMLSchema" xmlns:xs="http://www.w3.org/2001/XMLSchema" xmlns:p="http://schemas.microsoft.com/office/2006/metadata/properties" xmlns:ns1="http://schemas.microsoft.com/sharepoint/v3" xmlns:ns2="d4c4f6c7-25a9-40cf-b347-0327acdd5ea8" xmlns:ns3="572e73b3-11ff-42d7-9247-091d7aebb192" targetNamespace="http://schemas.microsoft.com/office/2006/metadata/properties" ma:root="true" ma:fieldsID="8b7571208a787f543e5c8bd8d6d1af40" ns1:_="" ns2:_="" ns3:_="">
    <xsd:import namespace="http://schemas.microsoft.com/sharepoint/v3"/>
    <xsd:import namespace="d4c4f6c7-25a9-40cf-b347-0327acdd5ea8"/>
    <xsd:import namespace="572e73b3-11ff-42d7-9247-091d7aebb1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f6c7-25a9-40cf-b347-0327acdd5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cb8bf1-9921-4fc9-9bf1-ae2f166e9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e73b3-11ff-42d7-9247-091d7aebb1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7a883f-a6bb-4a55-bcf3-2e122ab806c7}" ma:internalName="TaxCatchAll" ma:showField="CatchAllData" ma:web="572e73b3-11ff-42d7-9247-091d7aebb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72e73b3-11ff-42d7-9247-091d7aebb192" xsi:nil="true"/>
    <lcf76f155ced4ddcb4097134ff3c332f xmlns="d4c4f6c7-25a9-40cf-b347-0327acdd5e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B01C8E-D33F-450E-8A43-E8A9D71F7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c4f6c7-25a9-40cf-b347-0327acdd5ea8"/>
    <ds:schemaRef ds:uri="572e73b3-11ff-42d7-9247-091d7aebb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E529D-4C09-45EC-80BF-F1E4ADBE8389}">
  <ds:schemaRefs>
    <ds:schemaRef ds:uri="http://schemas.microsoft.com/sharepoint/v3/contenttype/forms"/>
  </ds:schemaRefs>
</ds:datastoreItem>
</file>

<file path=customXml/itemProps3.xml><?xml version="1.0" encoding="utf-8"?>
<ds:datastoreItem xmlns:ds="http://schemas.openxmlformats.org/officeDocument/2006/customXml" ds:itemID="{704D0741-1E5A-4238-BF8A-3AF3047B3D0C}">
  <ds:schemaRefs>
    <ds:schemaRef ds:uri="http://schemas.microsoft.com/office/2006/metadata/properties"/>
    <ds:schemaRef ds:uri="http://schemas.microsoft.com/office/infopath/2007/PartnerControls"/>
    <ds:schemaRef ds:uri="http://schemas.microsoft.com/sharepoint/v3"/>
    <ds:schemaRef ds:uri="572e73b3-11ff-42d7-9247-091d7aebb192"/>
    <ds:schemaRef ds:uri="d4c4f6c7-25a9-40cf-b347-0327acdd5e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Microsoft Word - PAI statemet.docx</vt:lpstr>
    </vt:vector>
  </TitlesOfParts>
  <Manager/>
  <Company/>
  <LinksUpToDate>false</LinksUpToDate>
  <CharactersWithSpaces>3924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Marovic</dc:creator>
  <cp:keywords/>
  <dc:description/>
  <cp:lastModifiedBy>Zrinka Vuković Berić</cp:lastModifiedBy>
  <cp:revision>2</cp:revision>
  <dcterms:created xsi:type="dcterms:W3CDTF">2026-07-21T14:04:00Z</dcterms:created>
  <dcterms:modified xsi:type="dcterms:W3CDTF">2026-07-21T14:04:00Z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2023-06-28T10:00:00Z</vt:filetime>
  </property>
  <property fmtid="{D5CDD505-2E9C-101B-9397-08002B2CF9AE}" pid="3" name="Creator">
    <vt:lpwstr>PScript5.dll Version 5.2.2</vt:lpwstr>
  </property>
  <property fmtid="{D5CDD505-2E9C-101B-9397-08002B2CF9AE}" pid="4" name="LastSaved">
    <vt:filetime>2025-07-21T10:00:00Z</vt:filetime>
  </property>
  <property fmtid="{D5CDD505-2E9C-101B-9397-08002B2CF9AE}" pid="5" name="Producer">
    <vt:lpwstr>Acrobat Distiller 23.0 (Windows)</vt:lpwstr>
  </property>
  <property fmtid="{D5CDD505-2E9C-101B-9397-08002B2CF9AE}" pid="6" name="ContentTypeId">
    <vt:lpwstr>0x010100444F7DE2609A1E46857CDC2A7D8360C9</vt:lpwstr>
  </property>
  <property fmtid="{D5CDD505-2E9C-101B-9397-08002B2CF9AE}" pid="7" name="MediaServiceImageTags">
    <vt:lpwstr/>
  </property>
  <property fmtid="{D5CDD505-2E9C-101B-9397-08002B2CF9AE}" pid="8" name="GrammarlyDocumentId">
    <vt:lpwstr>7fc4422b-3382-4fb9-ad93-0e467ba03c0a</vt:lpwstr>
  </property>
</Properties>
</file>