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4DC7" w14:textId="77777777" w:rsidR="00A15096" w:rsidRPr="00E815E1" w:rsidRDefault="00A15096">
      <w:pPr>
        <w:pStyle w:val="BodyText"/>
        <w:jc w:val="both"/>
        <w:rPr>
          <w:lang w:val="hr-HR"/>
        </w:rPr>
      </w:pPr>
    </w:p>
    <w:p w14:paraId="299BAC2F" w14:textId="4C5DAAB9" w:rsidR="00E815E1" w:rsidRPr="00E815E1" w:rsidRDefault="00E815E1" w:rsidP="00E815E1">
      <w:pPr>
        <w:ind w:firstLine="193"/>
        <w:jc w:val="right"/>
        <w:rPr>
          <w:spacing w:val="-4"/>
          <w:sz w:val="21"/>
          <w:szCs w:val="21"/>
          <w:lang w:val="hr-HR"/>
        </w:rPr>
      </w:pPr>
      <w:r w:rsidRPr="00E815E1">
        <w:rPr>
          <w:lang w:val="hr-HR"/>
        </w:rPr>
        <w:t xml:space="preserve">Datum: </w:t>
      </w:r>
      <w:r w:rsidR="00CD2760">
        <w:rPr>
          <w:lang w:val="hr-HR"/>
        </w:rPr>
        <w:t>17</w:t>
      </w:r>
      <w:r w:rsidR="00CD2760" w:rsidRPr="00E815E1">
        <w:rPr>
          <w:lang w:val="hr-HR"/>
        </w:rPr>
        <w:t xml:space="preserve">. </w:t>
      </w:r>
      <w:r w:rsidRPr="00E815E1">
        <w:rPr>
          <w:lang w:val="hr-HR"/>
        </w:rPr>
        <w:t>travnja 2026.</w:t>
      </w:r>
    </w:p>
    <w:p w14:paraId="54295D9E" w14:textId="77777777" w:rsidR="00E815E1" w:rsidRPr="00E815E1" w:rsidRDefault="00E815E1" w:rsidP="00E815E1">
      <w:pPr>
        <w:jc w:val="both"/>
        <w:rPr>
          <w:sz w:val="21"/>
          <w:szCs w:val="21"/>
          <w:lang w:val="hr-HR"/>
        </w:rPr>
      </w:pPr>
    </w:p>
    <w:p w14:paraId="01C202DD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AF4785C" w14:textId="77777777" w:rsidR="00E815E1" w:rsidRPr="00E815E1" w:rsidRDefault="00E815E1" w:rsidP="00CD2760">
      <w:pPr>
        <w:pStyle w:val="Heading1"/>
        <w:ind w:left="0"/>
        <w:jc w:val="center"/>
        <w:rPr>
          <w:color w:val="1E3763"/>
          <w:spacing w:val="-2"/>
          <w:u w:color="1E3763"/>
          <w:lang w:val="hr-HR"/>
        </w:rPr>
      </w:pPr>
      <w:r w:rsidRPr="00E815E1">
        <w:rPr>
          <w:color w:val="1E3763"/>
          <w:lang w:val="hr-HR"/>
        </w:rPr>
        <w:t>Transparentnost uključivanja rizika održivosti</w:t>
      </w:r>
    </w:p>
    <w:p w14:paraId="5FBA0B02" w14:textId="77777777" w:rsidR="00E815E1" w:rsidRPr="00E815E1" w:rsidRDefault="00E815E1" w:rsidP="00E815E1">
      <w:pPr>
        <w:pStyle w:val="Heading1"/>
        <w:ind w:left="0"/>
        <w:jc w:val="both"/>
        <w:rPr>
          <w:u w:val="none"/>
          <w:lang w:val="hr-HR"/>
        </w:rPr>
      </w:pPr>
    </w:p>
    <w:p w14:paraId="7F45354A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U skladu s člankom 3. stavkom 1. SFDR-a, prema kojem je Društvo obvezno objaviti informacije o tome kako je rizik održivosti uključen u proces donošenja odluka o ulaganjima, Društvo definira ključna područja i poslovne procese unutar kojih se rizik održivosti utvrđuje i uključuje u odlučivanje i upravljanje rizicima. </w:t>
      </w:r>
    </w:p>
    <w:p w14:paraId="1D1A462E" w14:textId="77777777" w:rsidR="00E815E1" w:rsidRPr="00E815E1" w:rsidRDefault="00E815E1" w:rsidP="00E815E1">
      <w:pPr>
        <w:pStyle w:val="BodyText"/>
        <w:tabs>
          <w:tab w:val="left" w:pos="426"/>
        </w:tabs>
        <w:jc w:val="both"/>
        <w:rPr>
          <w:lang w:val="hr-HR"/>
        </w:rPr>
      </w:pPr>
    </w:p>
    <w:p w14:paraId="14031493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Društvo je uspostavilo odgovarajući sustav upravljanja rizicima koji, putem Politike upravljanja rizicima, uključuje rizik održivosti u poslovanje Društva i proces donošenja odluka o ulaganjima. Rizici održivosti podrazumijevaju okolišni, socijalni ili upravljački događaj ili uvjet koji bi, ako do njega dođe, mogao uzrokovati stvaran ili potencijalan negativan bitan učinak na vrijednost ulaganja.</w:t>
      </w:r>
    </w:p>
    <w:p w14:paraId="55391847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A654392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Ukupni nadzor nad ESG-om zadržavaju Upravljajući partneri, dok svakodnevnu provedbu ESG-a vodi ESG voditeljica Društva, koja koordinira uključivanje ESG-a u cijeli investicijski proces i praćenje portfelja, uz potporu vanjskih stručnjaka kada je to primjereno.</w:t>
      </w:r>
    </w:p>
    <w:p w14:paraId="69DE0177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4EB32BD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Društvo upravlja dvama zatvorenim fondovima privatnog kapitala. Dok Fond I (klasificiran u skladu s člankom 6. SFDR-a) u svoj proces uključuje osnovne rizike održivosti, Fond II provodi sveobuhvatniju strategiju uključivanja ESG-a u skladu sa svojom klasifikacijom prema članku 8. SFDR-a. </w:t>
      </w:r>
    </w:p>
    <w:p w14:paraId="4E061D7A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5BA5C096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Prilikom svake potencijalne investicije Fonda I, Društvo procjenjuje okolišni i socijalni rizik koristeći javno dostupni EBRD-ov Popis kategorizacije okolišnih i socijalnih rizika te primjenjuje isključenja na razini fonda i provjere radi izbjegavanja zabranjenih ili neprihvatljivih aktivnosti. Dodatno, Društvo ne ulaže u sektore i društva koja se bave aktivnostima utvrđenima kao neprihvatljive (npr. ugljen, nafta, opasne tvari, kockanje, oružje itd.), kako je navedeno u EBRD-ovu Popisu isključenja u području okoliša i socijalnih pitanja.</w:t>
      </w:r>
    </w:p>
    <w:p w14:paraId="00DA3095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4D8681CB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Fond II promiče okolišna i socijalna obilježja ulaganjem u društva koja posluju odgovorno, smanjuju negativne učinke i unapređuju ESG prakse tijekom investicijskog razdoblja. Ta obilježja, ovisno o primjenjivosti, uključuju veću resursnu učinkovitost, smanjenje emisija stakleničkih plinova, višu razinu zaštite zdravlja i sigurnosti na radu, dobre radne prakse, poslovni integritet i dobro upravljanje.</w:t>
      </w:r>
    </w:p>
    <w:p w14:paraId="3C2E3565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53C3312B" w14:textId="3F576343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Fond II nema za cilj održivo ulaganje te se ne obvezuje na održiva ulaganja kako su definirana u članku 2. točki 17. SFDR-a. Ulaganja na kojima se temelji Fond II ne uzimaju u obzir kriterije EU-a za okolišno održive ekonomske djelatnosti u smislu TR-a. </w:t>
      </w:r>
      <w:r w:rsidR="00361383" w:rsidRPr="00361383">
        <w:rPr>
          <w:lang w:val="hr-HR"/>
        </w:rPr>
        <w:t>Slijedom toga, upućivanja u ovoj objavi na ulaganja klasificirana kao CA&amp;ES, provjere tipa DNSH, zelena ulaganja ili slične ulagatelju specifične okvire okolišnog probira ne treba tumačiti kao obvezu Fonda II na minimalni udio „održivih ulaganja” za potrebe SFDR-a niti na ulaganja usklađena s taksonomijom za potrebe TR-a.</w:t>
      </w:r>
    </w:p>
    <w:p w14:paraId="0242116C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3BA304B2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Fond II primjenjuje dodatne zaštitne mjere u području održivosti, uključujući:</w:t>
      </w:r>
    </w:p>
    <w:p w14:paraId="77F7FDCD" w14:textId="07F48B65" w:rsidR="00E815E1" w:rsidRPr="00E815E1" w:rsidRDefault="00E815E1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>Uspostavu i održavanje sustava upravljanja okolišnim i socijalnim pitanjima („ESMS”) razmjernog aktivnostima Fonda i usklađenog s primjenjivim zahtjevima EBRD-a, uključujući definirane uloge, postupke i vanjsku komunikaciju o okolišnim i socijalnim pitanjima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kao i dodjelu odgovarajuće interne odgovornosti za provedbu ESG-a</w:t>
      </w:r>
      <w:r w:rsidRPr="00E815E1">
        <w:rPr>
          <w:lang w:val="hr-HR"/>
        </w:rPr>
        <w:t>;</w:t>
      </w:r>
    </w:p>
    <w:p w14:paraId="7FD089D8" w14:textId="1C90ACDB" w:rsidR="00E815E1" w:rsidRDefault="00E815E1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>Provjeru u odnosu na EBRD-ove popise isključenja i popise isključenja Europskog investicijskog fonda („EIF”)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e, kada je to relevantno, druge primjenjive ugovorne popise isključenja i ograničenja, uključujući provjeru u odnosu na EBRD-ov Popis neprihvatljivih subjekata</w:t>
      </w:r>
      <w:r w:rsidRPr="00E815E1">
        <w:rPr>
          <w:lang w:val="hr-HR"/>
        </w:rPr>
        <w:t>;</w:t>
      </w:r>
    </w:p>
    <w:p w14:paraId="36AB1513" w14:textId="2E5E5704" w:rsidR="00361383" w:rsidRPr="00361383" w:rsidRDefault="00361383" w:rsidP="00361383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361383">
        <w:rPr>
          <w:lang w:val="hr-HR"/>
        </w:rPr>
        <w:t>Transakcijski ESG probir i dubinsku analizu radi utvrđivanja, procjene, ublažavanja i praćenja materijalnih ESG rizika;</w:t>
      </w:r>
    </w:p>
    <w:p w14:paraId="45977545" w14:textId="5C543D30" w:rsidR="00361383" w:rsidRPr="00E815E1" w:rsidRDefault="00361383" w:rsidP="00361383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361383">
        <w:rPr>
          <w:lang w:val="hr-HR"/>
        </w:rPr>
        <w:t xml:space="preserve">Kada je to relevantno, provjeru usklađenosti s primjenjivim pravom EU-a i nacionalnim okolišnim propisima te dodatnu provjeru radi izbjegavanja nanošenja bitne štete okolišnim i/ili socijalnim </w:t>
      </w:r>
      <w:r w:rsidRPr="00361383">
        <w:rPr>
          <w:lang w:val="hr-HR"/>
        </w:rPr>
        <w:lastRenderedPageBreak/>
        <w:t>čimbenicima, uključujući ugovorne procjene DNSH-a / provjere održivosti;</w:t>
      </w:r>
    </w:p>
    <w:p w14:paraId="3D9E8D6C" w14:textId="6AD85BA3" w:rsidR="00E815E1" w:rsidRPr="00E815E1" w:rsidRDefault="00E815E1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>Poštovanje međunarodnih minimalnih zaštitnih mjera (Smjernice OECD-a, UNGP-ovi, temeljne konvencije MOR-a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Međunarodn</w:t>
      </w:r>
      <w:r w:rsidR="00361383">
        <w:rPr>
          <w:lang w:val="hr-HR"/>
        </w:rPr>
        <w:t>e</w:t>
      </w:r>
      <w:r w:rsidR="00361383" w:rsidRPr="00361383">
        <w:rPr>
          <w:lang w:val="hr-HR"/>
        </w:rPr>
        <w:t xml:space="preserve"> povelj</w:t>
      </w:r>
      <w:r w:rsidR="00361383">
        <w:rPr>
          <w:lang w:val="hr-HR"/>
        </w:rPr>
        <w:t>e</w:t>
      </w:r>
      <w:r w:rsidR="00361383" w:rsidRPr="00361383">
        <w:rPr>
          <w:lang w:val="hr-HR"/>
        </w:rPr>
        <w:t xml:space="preserve"> o ljudskim pravima</w:t>
      </w:r>
      <w:r w:rsidRPr="00E815E1">
        <w:rPr>
          <w:lang w:val="hr-HR"/>
        </w:rPr>
        <w:t>);</w:t>
      </w:r>
    </w:p>
    <w:p w14:paraId="06A43557" w14:textId="21BCDD29" w:rsidR="00E815E1" w:rsidRPr="00E815E1" w:rsidRDefault="00E815E1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>ESG kategorizaciju rizika u fazi prije ulaganja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uz pojačani pregled za ulaganja višeg rizika kada je to relevantno</w:t>
      </w:r>
      <w:r w:rsidRPr="00E815E1">
        <w:rPr>
          <w:lang w:val="hr-HR"/>
        </w:rPr>
        <w:t>;</w:t>
      </w:r>
    </w:p>
    <w:p w14:paraId="649EFA8F" w14:textId="5D018AB6" w:rsidR="00E815E1" w:rsidRDefault="00E815E1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 xml:space="preserve">Praćenje ESG </w:t>
      </w:r>
      <w:r>
        <w:rPr>
          <w:lang w:val="hr-HR"/>
        </w:rPr>
        <w:t>ključnih pokazatelja („</w:t>
      </w:r>
      <w:r w:rsidRPr="00E815E1">
        <w:rPr>
          <w:lang w:val="hr-HR"/>
        </w:rPr>
        <w:t>KPI</w:t>
      </w:r>
      <w:r>
        <w:rPr>
          <w:lang w:val="hr-HR"/>
        </w:rPr>
        <w:t>“</w:t>
      </w:r>
      <w:r w:rsidRPr="00E815E1">
        <w:rPr>
          <w:lang w:val="hr-HR"/>
        </w:rPr>
        <w:t>-</w:t>
      </w:r>
      <w:proofErr w:type="spellStart"/>
      <w:r w:rsidRPr="00E815E1">
        <w:rPr>
          <w:lang w:val="hr-HR"/>
        </w:rPr>
        <w:t>jeva</w:t>
      </w:r>
      <w:proofErr w:type="spellEnd"/>
      <w:r>
        <w:rPr>
          <w:lang w:val="hr-HR"/>
        </w:rPr>
        <w:t xml:space="preserve">) </w:t>
      </w:r>
      <w:r w:rsidRPr="00E815E1">
        <w:rPr>
          <w:lang w:val="hr-HR"/>
        </w:rPr>
        <w:t xml:space="preserve">nakon ulaganja u skladu s predloškom </w:t>
      </w:r>
      <w:proofErr w:type="spellStart"/>
      <w:r w:rsidRPr="00E815E1">
        <w:rPr>
          <w:lang w:val="hr-HR"/>
        </w:rPr>
        <w:t>Invest</w:t>
      </w:r>
      <w:proofErr w:type="spellEnd"/>
      <w:r w:rsidRPr="00E815E1">
        <w:rPr>
          <w:lang w:val="hr-HR"/>
        </w:rPr>
        <w:t xml:space="preserve"> Europe ESG Reporting Template; </w:t>
      </w:r>
    </w:p>
    <w:p w14:paraId="5097CB33" w14:textId="3B7AC102" w:rsidR="00361383" w:rsidRPr="00E815E1" w:rsidRDefault="00361383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361383">
        <w:rPr>
          <w:lang w:val="hr-HR"/>
        </w:rPr>
        <w:t xml:space="preserve">Ugovornu obvezu ulaganja iznosa koji je najmanje jednak 5 % ukupnog iznosa povučenih sredstava za ulaganja u </w:t>
      </w:r>
      <w:proofErr w:type="spellStart"/>
      <w:r w:rsidRPr="00361383">
        <w:rPr>
          <w:lang w:val="hr-HR"/>
        </w:rPr>
        <w:t>portfeljna</w:t>
      </w:r>
      <w:proofErr w:type="spellEnd"/>
      <w:r w:rsidRPr="00361383">
        <w:rPr>
          <w:lang w:val="hr-HR"/>
        </w:rPr>
        <w:t xml:space="preserve"> društva u ulaganja klasificirana kao ona koja doprinose najnovijim kriterijima EIF-a za klimatsko djelovanje i okolišnu održivost (CA&amp;ES), objavljenima na internetskim stranicama EIF-a i kako budu ažurirani s vremena na vrijeme;</w:t>
      </w:r>
    </w:p>
    <w:p w14:paraId="0E6158AD" w14:textId="77777777" w:rsidR="00361383" w:rsidRDefault="00E815E1" w:rsidP="00361383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>Na osnovi najboljih nastojanja, realizaciju i/ili identificiranje zelenih ulaganja u skladu s EBRD-ovom metodologijom / smjernicama za zeleno financiranje te, prema potrebi, godišnje praćenje i izvještavanje EBRD-a o povezanim okolišnim učincima</w:t>
      </w:r>
      <w:r w:rsidR="00361383">
        <w:rPr>
          <w:lang w:val="hr-HR"/>
        </w:rPr>
        <w:t xml:space="preserve">; </w:t>
      </w:r>
    </w:p>
    <w:p w14:paraId="1589CFD6" w14:textId="66FE0807" w:rsidR="00361383" w:rsidRPr="00361383" w:rsidRDefault="00361383" w:rsidP="00361383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361383">
        <w:rPr>
          <w:lang w:val="hr-HR"/>
        </w:rPr>
        <w:t>Na osnovi najboljih komercijalno razumnih nastojanja, nastojanje da investicijska strategija Fonda II bude usklađena s maksimalnim porastom temperature od 1,5 °C iznad predindustrijske razine i s klimatski otpornim razvojem u skladu s ciljevima Pariškog sporazuma; i</w:t>
      </w:r>
    </w:p>
    <w:p w14:paraId="73FD1B80" w14:textId="35CED054" w:rsidR="00E815E1" w:rsidRPr="00E815E1" w:rsidRDefault="00361383" w:rsidP="00361383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361383">
        <w:rPr>
          <w:lang w:val="hr-HR"/>
        </w:rPr>
        <w:t xml:space="preserve">Razmatranje, kada je to relevantno, vjerodostojnih mjera </w:t>
      </w:r>
      <w:proofErr w:type="spellStart"/>
      <w:r w:rsidRPr="00361383">
        <w:rPr>
          <w:lang w:val="hr-HR"/>
        </w:rPr>
        <w:t>dekarbonizacije</w:t>
      </w:r>
      <w:proofErr w:type="spellEnd"/>
      <w:r w:rsidRPr="00361383">
        <w:rPr>
          <w:lang w:val="hr-HR"/>
        </w:rPr>
        <w:t xml:space="preserve"> i/ili korektivnih mjera za ulaganja s povišenom okolišnom ili klimatskom relevantnošću te njihovo odražavanje u transakcijskoj dokumentaciji i praćenju nakon ulaganja.</w:t>
      </w:r>
    </w:p>
    <w:p w14:paraId="5014E07B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4BF4A693" w14:textId="5A1AFD95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Fond II prati ESG rezultate tijekom razdoblja držanja ulaganja kroz periodičnu komunikaciju s </w:t>
      </w:r>
      <w:proofErr w:type="spellStart"/>
      <w:r w:rsidRPr="00E815E1">
        <w:rPr>
          <w:lang w:val="hr-HR"/>
        </w:rPr>
        <w:t>portfeljnim</w:t>
      </w:r>
      <w:proofErr w:type="spellEnd"/>
      <w:r w:rsidRPr="00E815E1">
        <w:rPr>
          <w:lang w:val="hr-HR"/>
        </w:rPr>
        <w:t xml:space="preserve"> društvima, pregled ESG KPI-</w:t>
      </w:r>
      <w:proofErr w:type="spellStart"/>
      <w:r w:rsidRPr="00E815E1">
        <w:rPr>
          <w:lang w:val="hr-HR"/>
        </w:rPr>
        <w:t>jeva</w:t>
      </w:r>
      <w:proofErr w:type="spellEnd"/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praćenje dogovorenih mjera ublažavanja / sanacije te</w:t>
      </w:r>
      <w:r w:rsidRPr="00E815E1">
        <w:rPr>
          <w:lang w:val="hr-HR"/>
        </w:rPr>
        <w:t xml:space="preserve"> eskalaciju u slučaju značajnih ESG incidenata. ESG podaci prvenstveno se temelje na izvještavanju </w:t>
      </w:r>
      <w:proofErr w:type="spellStart"/>
      <w:r w:rsidRPr="00E815E1">
        <w:rPr>
          <w:lang w:val="hr-HR"/>
        </w:rPr>
        <w:t>portfeljnih</w:t>
      </w:r>
      <w:proofErr w:type="spellEnd"/>
      <w:r w:rsidRPr="00E815E1">
        <w:rPr>
          <w:lang w:val="hr-HR"/>
        </w:rPr>
        <w:t xml:space="preserve"> društava, uz dopunu javnim i vanjskim izvorima. Zbog prirode ulaganja na privatnim tržištima, podaci mogu biti nepotpuni, temeljiti se na procjenama ili ne biti u potpunosti usporedivi. Fond II nastoji postupno poboljšavati kvalitetu ESG podataka aktivnim vlasništvom. </w:t>
      </w:r>
      <w:r w:rsidR="00361383" w:rsidRPr="00361383">
        <w:rPr>
          <w:lang w:val="hr-HR"/>
        </w:rPr>
        <w:t xml:space="preserve">Društvo također održava postupak javne objave i vanjske komunikacije o okolišnim i socijalnim pitanjima. </w:t>
      </w:r>
      <w:r w:rsidRPr="00E815E1">
        <w:rPr>
          <w:lang w:val="hr-HR"/>
        </w:rPr>
        <w:t>Za Fond II nije određena referentna vrijednost.</w:t>
      </w:r>
    </w:p>
    <w:p w14:paraId="03A731B8" w14:textId="77777777" w:rsidR="00E815E1" w:rsidRDefault="00E815E1" w:rsidP="00E815E1">
      <w:pPr>
        <w:pStyle w:val="BodyText"/>
        <w:jc w:val="both"/>
        <w:rPr>
          <w:lang w:val="hr-HR"/>
        </w:rPr>
      </w:pPr>
    </w:p>
    <w:p w14:paraId="487ECF97" w14:textId="77777777" w:rsidR="00361383" w:rsidRPr="00E815E1" w:rsidRDefault="00361383" w:rsidP="00E815E1">
      <w:pPr>
        <w:pStyle w:val="BodyText"/>
        <w:jc w:val="both"/>
        <w:rPr>
          <w:lang w:val="hr-HR"/>
        </w:rPr>
      </w:pPr>
    </w:p>
    <w:p w14:paraId="784079F3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6AC23D2E" w14:textId="60CB9DD1" w:rsidR="00CB511F" w:rsidRPr="00DC6D28" w:rsidRDefault="00CB511F" w:rsidP="00D90091">
      <w:pPr>
        <w:pStyle w:val="BodyText"/>
        <w:jc w:val="both"/>
        <w:rPr>
          <w:lang w:val="en-GB"/>
        </w:rPr>
      </w:pPr>
    </w:p>
    <w:p w14:paraId="0F28CBA6" w14:textId="797FC538" w:rsidR="00CB511F" w:rsidRPr="00D90091" w:rsidRDefault="00CB511F" w:rsidP="00D90091">
      <w:pPr>
        <w:pStyle w:val="BodyText"/>
        <w:jc w:val="both"/>
        <w:rPr>
          <w:lang w:val="en-GB"/>
        </w:rPr>
      </w:pPr>
    </w:p>
    <w:sectPr w:rsidR="00CB511F" w:rsidRPr="00D90091" w:rsidSect="00D90091">
      <w:headerReference w:type="default" r:id="rId10"/>
      <w:footerReference w:type="even" r:id="rId11"/>
      <w:footerReference w:type="default" r:id="rId12"/>
      <w:pgSz w:w="11910" w:h="16840"/>
      <w:pgMar w:top="1843" w:right="1276" w:bottom="127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90D17" w14:textId="77777777" w:rsidR="00510894" w:rsidRDefault="00510894" w:rsidP="00697D50">
      <w:r>
        <w:separator/>
      </w:r>
    </w:p>
  </w:endnote>
  <w:endnote w:type="continuationSeparator" w:id="0">
    <w:p w14:paraId="43A20C16" w14:textId="77777777" w:rsidR="00510894" w:rsidRDefault="00510894" w:rsidP="0069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020978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8A6676" w14:textId="6E9B841E" w:rsidR="00DC6D28" w:rsidRDefault="00DC6D28" w:rsidP="00E11C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9F0D790" w14:textId="77777777" w:rsidR="00DC6D28" w:rsidRDefault="00DC6D28" w:rsidP="00D900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1"/>
        <w:szCs w:val="21"/>
      </w:rPr>
      <w:id w:val="8729659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13076A" w14:textId="34DDCD8C" w:rsidR="00DC6D28" w:rsidRPr="00D90091" w:rsidRDefault="00DC6D28" w:rsidP="00E11C78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D90091">
          <w:rPr>
            <w:rStyle w:val="PageNumber"/>
            <w:sz w:val="21"/>
            <w:szCs w:val="21"/>
          </w:rPr>
          <w:fldChar w:fldCharType="begin"/>
        </w:r>
        <w:r w:rsidRPr="00D90091">
          <w:rPr>
            <w:rStyle w:val="PageNumber"/>
            <w:sz w:val="21"/>
            <w:szCs w:val="21"/>
          </w:rPr>
          <w:instrText xml:space="preserve"> PAGE </w:instrText>
        </w:r>
        <w:r w:rsidRPr="00D90091">
          <w:rPr>
            <w:rStyle w:val="PageNumber"/>
            <w:sz w:val="21"/>
            <w:szCs w:val="21"/>
          </w:rPr>
          <w:fldChar w:fldCharType="separate"/>
        </w:r>
        <w:r w:rsidRPr="00D90091">
          <w:rPr>
            <w:rStyle w:val="PageNumber"/>
            <w:noProof/>
            <w:sz w:val="21"/>
            <w:szCs w:val="21"/>
          </w:rPr>
          <w:t>5</w:t>
        </w:r>
        <w:r w:rsidRPr="00D90091">
          <w:rPr>
            <w:rStyle w:val="PageNumber"/>
            <w:sz w:val="21"/>
            <w:szCs w:val="21"/>
          </w:rPr>
          <w:fldChar w:fldCharType="end"/>
        </w:r>
      </w:p>
    </w:sdtContent>
  </w:sdt>
  <w:p w14:paraId="60CBFF6E" w14:textId="77777777" w:rsidR="00DC6D28" w:rsidRDefault="00DC6D28" w:rsidP="00D900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3B7AE" w14:textId="77777777" w:rsidR="00510894" w:rsidRDefault="00510894" w:rsidP="00697D50">
      <w:r>
        <w:separator/>
      </w:r>
    </w:p>
  </w:footnote>
  <w:footnote w:type="continuationSeparator" w:id="0">
    <w:p w14:paraId="58AAE167" w14:textId="77777777" w:rsidR="00510894" w:rsidRDefault="00510894" w:rsidP="00697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0A2B" w14:textId="48969C82" w:rsidR="00697D50" w:rsidRDefault="00697D50">
    <w:pPr>
      <w:pStyle w:val="Header"/>
    </w:pPr>
    <w:r w:rsidRPr="00D90091">
      <w:rPr>
        <w:noProof/>
        <w:sz w:val="19"/>
        <w:lang w:val="en-GB"/>
      </w:rPr>
      <w:drawing>
        <wp:anchor distT="0" distB="0" distL="0" distR="0" simplePos="0" relativeHeight="251659264" behindDoc="0" locked="0" layoutInCell="1" allowOverlap="1" wp14:anchorId="54FEFD05" wp14:editId="553D81D5">
          <wp:simplePos x="0" y="0"/>
          <wp:positionH relativeFrom="page">
            <wp:posOffset>809625</wp:posOffset>
          </wp:positionH>
          <wp:positionV relativeFrom="paragraph">
            <wp:posOffset>0</wp:posOffset>
          </wp:positionV>
          <wp:extent cx="877146" cy="403013"/>
          <wp:effectExtent l="0" t="0" r="0" b="0"/>
          <wp:wrapNone/>
          <wp:docPr id="98695798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7146" cy="403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B36"/>
    <w:multiLevelType w:val="hybridMultilevel"/>
    <w:tmpl w:val="2F8689D2"/>
    <w:lvl w:ilvl="0" w:tplc="08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" w15:restartNumberingAfterBreak="0">
    <w:nsid w:val="2BFA5317"/>
    <w:multiLevelType w:val="hybridMultilevel"/>
    <w:tmpl w:val="492EF87C"/>
    <w:lvl w:ilvl="0" w:tplc="DF0AFBE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7662DB"/>
    <w:multiLevelType w:val="hybridMultilevel"/>
    <w:tmpl w:val="4FE6B3DE"/>
    <w:lvl w:ilvl="0" w:tplc="AC388E58">
      <w:start w:val="1"/>
      <w:numFmt w:val="lowerRoman"/>
      <w:lvlText w:val="(%1)"/>
      <w:lvlJc w:val="left"/>
      <w:pPr>
        <w:ind w:left="8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6" w:hanging="360"/>
      </w:pPr>
    </w:lvl>
    <w:lvl w:ilvl="2" w:tplc="0809001B" w:tentative="1">
      <w:start w:val="1"/>
      <w:numFmt w:val="lowerRoman"/>
      <w:lvlText w:val="%3."/>
      <w:lvlJc w:val="right"/>
      <w:pPr>
        <w:ind w:left="2286" w:hanging="180"/>
      </w:pPr>
    </w:lvl>
    <w:lvl w:ilvl="3" w:tplc="0809000F" w:tentative="1">
      <w:start w:val="1"/>
      <w:numFmt w:val="decimal"/>
      <w:lvlText w:val="%4."/>
      <w:lvlJc w:val="left"/>
      <w:pPr>
        <w:ind w:left="3006" w:hanging="360"/>
      </w:pPr>
    </w:lvl>
    <w:lvl w:ilvl="4" w:tplc="08090019" w:tentative="1">
      <w:start w:val="1"/>
      <w:numFmt w:val="lowerLetter"/>
      <w:lvlText w:val="%5."/>
      <w:lvlJc w:val="left"/>
      <w:pPr>
        <w:ind w:left="3726" w:hanging="360"/>
      </w:pPr>
    </w:lvl>
    <w:lvl w:ilvl="5" w:tplc="0809001B" w:tentative="1">
      <w:start w:val="1"/>
      <w:numFmt w:val="lowerRoman"/>
      <w:lvlText w:val="%6."/>
      <w:lvlJc w:val="right"/>
      <w:pPr>
        <w:ind w:left="4446" w:hanging="180"/>
      </w:pPr>
    </w:lvl>
    <w:lvl w:ilvl="6" w:tplc="0809000F" w:tentative="1">
      <w:start w:val="1"/>
      <w:numFmt w:val="decimal"/>
      <w:lvlText w:val="%7."/>
      <w:lvlJc w:val="left"/>
      <w:pPr>
        <w:ind w:left="5166" w:hanging="360"/>
      </w:pPr>
    </w:lvl>
    <w:lvl w:ilvl="7" w:tplc="08090019" w:tentative="1">
      <w:start w:val="1"/>
      <w:numFmt w:val="lowerLetter"/>
      <w:lvlText w:val="%8."/>
      <w:lvlJc w:val="left"/>
      <w:pPr>
        <w:ind w:left="5886" w:hanging="360"/>
      </w:pPr>
    </w:lvl>
    <w:lvl w:ilvl="8" w:tplc="08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5E634991"/>
    <w:multiLevelType w:val="hybridMultilevel"/>
    <w:tmpl w:val="E4A04C06"/>
    <w:lvl w:ilvl="0" w:tplc="89E0D8E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15A34"/>
    <w:multiLevelType w:val="hybridMultilevel"/>
    <w:tmpl w:val="7FCEA922"/>
    <w:lvl w:ilvl="0" w:tplc="AC388E5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709118">
    <w:abstractNumId w:val="2"/>
  </w:num>
  <w:num w:numId="2" w16cid:durableId="2112820414">
    <w:abstractNumId w:val="4"/>
  </w:num>
  <w:num w:numId="3" w16cid:durableId="721250407">
    <w:abstractNumId w:val="0"/>
  </w:num>
  <w:num w:numId="4" w16cid:durableId="62721854">
    <w:abstractNumId w:val="3"/>
  </w:num>
  <w:num w:numId="5" w16cid:durableId="1990285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CF"/>
    <w:rsid w:val="000271CB"/>
    <w:rsid w:val="0003231D"/>
    <w:rsid w:val="000C544F"/>
    <w:rsid w:val="000E2D25"/>
    <w:rsid w:val="001E0AC7"/>
    <w:rsid w:val="0025584C"/>
    <w:rsid w:val="00343FFE"/>
    <w:rsid w:val="00361383"/>
    <w:rsid w:val="00480950"/>
    <w:rsid w:val="004D58A3"/>
    <w:rsid w:val="00505257"/>
    <w:rsid w:val="00510894"/>
    <w:rsid w:val="005619DB"/>
    <w:rsid w:val="005D7C21"/>
    <w:rsid w:val="0067676F"/>
    <w:rsid w:val="006900C1"/>
    <w:rsid w:val="00697D50"/>
    <w:rsid w:val="006A2D8C"/>
    <w:rsid w:val="008345DC"/>
    <w:rsid w:val="00834FBC"/>
    <w:rsid w:val="00876B77"/>
    <w:rsid w:val="00886A40"/>
    <w:rsid w:val="008D1562"/>
    <w:rsid w:val="008E5B95"/>
    <w:rsid w:val="00930308"/>
    <w:rsid w:val="00934BCE"/>
    <w:rsid w:val="00941BA8"/>
    <w:rsid w:val="009D4941"/>
    <w:rsid w:val="00A03CC9"/>
    <w:rsid w:val="00A075BA"/>
    <w:rsid w:val="00A15096"/>
    <w:rsid w:val="00A764C0"/>
    <w:rsid w:val="00AA597D"/>
    <w:rsid w:val="00B022FC"/>
    <w:rsid w:val="00B07427"/>
    <w:rsid w:val="00B2576D"/>
    <w:rsid w:val="00B460F1"/>
    <w:rsid w:val="00B50406"/>
    <w:rsid w:val="00B71C43"/>
    <w:rsid w:val="00B7312F"/>
    <w:rsid w:val="00BA4D42"/>
    <w:rsid w:val="00BF7E4E"/>
    <w:rsid w:val="00C4054A"/>
    <w:rsid w:val="00CB511F"/>
    <w:rsid w:val="00CD2760"/>
    <w:rsid w:val="00CF64CF"/>
    <w:rsid w:val="00D90091"/>
    <w:rsid w:val="00DC6D28"/>
    <w:rsid w:val="00E815E1"/>
    <w:rsid w:val="00ED1395"/>
    <w:rsid w:val="00EF19FE"/>
    <w:rsid w:val="00EF76F5"/>
    <w:rsid w:val="00F16584"/>
    <w:rsid w:val="00F32344"/>
    <w:rsid w:val="00F7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3385"/>
  <w15:docId w15:val="{5DAA03D4-D5CE-904C-A01D-8E641CCB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"/>
      <w:outlineLvl w:val="0"/>
    </w:pPr>
    <w:rPr>
      <w:b/>
      <w:bCs/>
      <w:sz w:val="25"/>
      <w:szCs w:val="25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"/>
      <w:ind w:left="3"/>
      <w:jc w:val="center"/>
    </w:pPr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F7E4E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97D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D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7D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D50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40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5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54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54A"/>
    <w:rPr>
      <w:rFonts w:ascii="Calibri" w:eastAsia="Calibri" w:hAnsi="Calibri" w:cs="Calibri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C6D28"/>
  </w:style>
  <w:style w:type="paragraph" w:customStyle="1" w:styleId="Heading1Custom">
    <w:name w:val="Heading 1 Custom"/>
    <w:basedOn w:val="Heading1"/>
    <w:qFormat/>
    <w:rsid w:val="00DC6D28"/>
    <w:pPr>
      <w:ind w:left="0"/>
      <w:jc w:val="both"/>
    </w:pPr>
    <w:rPr>
      <w:color w:val="1E3763"/>
      <w:u w:color="1E3763"/>
      <w:lang w:val="en-GB"/>
    </w:rPr>
  </w:style>
  <w:style w:type="paragraph" w:customStyle="1" w:styleId="Heading2Custom">
    <w:name w:val="Heading 2 Custom"/>
    <w:basedOn w:val="Heading1Custom"/>
    <w:qFormat/>
    <w:rsid w:val="00DC6D28"/>
    <w:rPr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F7DE2609A1E46857CDC2A7D8360C9" ma:contentTypeVersion="21" ma:contentTypeDescription="Create a new document." ma:contentTypeScope="" ma:versionID="9ec65eaf23c24a0465f0823def152cc8">
  <xsd:schema xmlns:xsd="http://www.w3.org/2001/XMLSchema" xmlns:xs="http://www.w3.org/2001/XMLSchema" xmlns:p="http://schemas.microsoft.com/office/2006/metadata/properties" xmlns:ns1="http://schemas.microsoft.com/sharepoint/v3" xmlns:ns2="d4c4f6c7-25a9-40cf-b347-0327acdd5ea8" xmlns:ns3="572e73b3-11ff-42d7-9247-091d7aebb192" targetNamespace="http://schemas.microsoft.com/office/2006/metadata/properties" ma:root="true" ma:fieldsID="8b7571208a787f543e5c8bd8d6d1af40" ns1:_="" ns2:_="" ns3:_="">
    <xsd:import namespace="http://schemas.microsoft.com/sharepoint/v3"/>
    <xsd:import namespace="d4c4f6c7-25a9-40cf-b347-0327acdd5ea8"/>
    <xsd:import namespace="572e73b3-11ff-42d7-9247-091d7aebb1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4f6c7-25a9-40cf-b347-0327acdd5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cb8bf1-9921-4fc9-9bf1-ae2f166e9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e73b3-11ff-42d7-9247-091d7aebb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7a883f-a6bb-4a55-bcf3-2e122ab806c7}" ma:internalName="TaxCatchAll" ma:showField="CatchAllData" ma:web="572e73b3-11ff-42d7-9247-091d7aebb1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72e73b3-11ff-42d7-9247-091d7aebb192" xsi:nil="true"/>
    <lcf76f155ced4ddcb4097134ff3c332f xmlns="d4c4f6c7-25a9-40cf-b347-0327acdd5e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47CE71-926F-4BE5-B4BB-6EE2612BF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c4f6c7-25a9-40cf-b347-0327acdd5ea8"/>
    <ds:schemaRef ds:uri="572e73b3-11ff-42d7-9247-091d7aebb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337FDB-7399-412E-B1B2-ED4298DFE8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07508-A8A1-45A4-A69A-5504AA5CBC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72e73b3-11ff-42d7-9247-091d7aebb192"/>
    <ds:schemaRef ds:uri="d4c4f6c7-25a9-40cf-b347-0327acdd5e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PAI statemet.docx</vt:lpstr>
    </vt:vector>
  </TitlesOfParts>
  <Manager/>
  <Company/>
  <LinksUpToDate>false</LinksUpToDate>
  <CharactersWithSpaces>6155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Marovic</dc:creator>
  <cp:keywords/>
  <dc:description/>
  <cp:lastModifiedBy>Zrinka Vuković Berić</cp:lastModifiedBy>
  <cp:revision>2</cp:revision>
  <dcterms:created xsi:type="dcterms:W3CDTF">2026-07-21T14:01:00Z</dcterms:created>
  <dcterms:modified xsi:type="dcterms:W3CDTF">2026-07-21T14:01:00Z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2023-06-28T10:00:00Z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2025-07-21T10:00:00Z</vt:filetime>
  </property>
  <property fmtid="{D5CDD505-2E9C-101B-9397-08002B2CF9AE}" pid="5" name="Producer">
    <vt:lpwstr>Acrobat Distiller 23.0 (Windows)</vt:lpwstr>
  </property>
  <property fmtid="{D5CDD505-2E9C-101B-9397-08002B2CF9AE}" pid="6" name="ContentTypeId">
    <vt:lpwstr>0x010100444F7DE2609A1E46857CDC2A7D8360C9</vt:lpwstr>
  </property>
  <property fmtid="{D5CDD505-2E9C-101B-9397-08002B2CF9AE}" pid="7" name="MediaServiceImageTags">
    <vt:lpwstr/>
  </property>
  <property fmtid="{D5CDD505-2E9C-101B-9397-08002B2CF9AE}" pid="8" name="GrammarlyDocumentId">
    <vt:lpwstr>e85fcb6e-afee-48cd-9693-cbcae3b3de31</vt:lpwstr>
  </property>
</Properties>
</file>