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0F1E" w14:textId="77962CC8" w:rsidR="00CF64CF" w:rsidRPr="004D1C1B" w:rsidRDefault="00367AA2" w:rsidP="00D90091">
      <w:pPr>
        <w:ind w:firstLine="193"/>
        <w:jc w:val="right"/>
        <w:rPr>
          <w:spacing w:val="-4"/>
          <w:sz w:val="21"/>
          <w:szCs w:val="21"/>
          <w:lang w:val="en-GB"/>
        </w:rPr>
      </w:pPr>
      <w:r w:rsidRPr="004D1C1B">
        <w:rPr>
          <w:sz w:val="21"/>
          <w:szCs w:val="21"/>
          <w:lang w:val="en-GB"/>
        </w:rPr>
        <w:t>Date:</w:t>
      </w:r>
      <w:r w:rsidR="00DC6D28" w:rsidRPr="004D1C1B">
        <w:rPr>
          <w:spacing w:val="-4"/>
          <w:sz w:val="21"/>
          <w:szCs w:val="21"/>
          <w:lang w:val="en-GB"/>
        </w:rPr>
        <w:t xml:space="preserve"> </w:t>
      </w:r>
      <w:r w:rsidR="00A215C8">
        <w:rPr>
          <w:spacing w:val="-4"/>
          <w:sz w:val="21"/>
          <w:szCs w:val="21"/>
          <w:lang w:val="en-GB"/>
        </w:rPr>
        <w:t>17</w:t>
      </w:r>
      <w:r w:rsidR="00A215C8" w:rsidRPr="004D1C1B">
        <w:rPr>
          <w:spacing w:val="-4"/>
          <w:sz w:val="21"/>
          <w:szCs w:val="21"/>
          <w:lang w:val="en-GB"/>
        </w:rPr>
        <w:t xml:space="preserve"> </w:t>
      </w:r>
      <w:r w:rsidR="00A15096" w:rsidRPr="004D1C1B">
        <w:rPr>
          <w:spacing w:val="-4"/>
          <w:sz w:val="21"/>
          <w:szCs w:val="21"/>
          <w:lang w:val="en-GB"/>
        </w:rPr>
        <w:t>April</w:t>
      </w:r>
      <w:r w:rsidR="00DC6D28" w:rsidRPr="004D1C1B">
        <w:rPr>
          <w:spacing w:val="-4"/>
          <w:sz w:val="21"/>
          <w:szCs w:val="21"/>
          <w:lang w:val="en-GB"/>
        </w:rPr>
        <w:t xml:space="preserve"> 2026</w:t>
      </w:r>
    </w:p>
    <w:p w14:paraId="15F0CF19" w14:textId="77777777" w:rsidR="00697D50" w:rsidRPr="004D1C1B" w:rsidRDefault="00697D50" w:rsidP="00DC6D28">
      <w:pPr>
        <w:jc w:val="both"/>
        <w:rPr>
          <w:sz w:val="21"/>
          <w:szCs w:val="21"/>
          <w:lang w:val="en-GB"/>
        </w:rPr>
      </w:pPr>
    </w:p>
    <w:p w14:paraId="4BEA4E72" w14:textId="198F5070" w:rsidR="00A15096" w:rsidRPr="004D1C1B" w:rsidRDefault="00A15096">
      <w:pPr>
        <w:jc w:val="both"/>
        <w:rPr>
          <w:sz w:val="21"/>
          <w:szCs w:val="21"/>
          <w:lang w:val="en-GB"/>
        </w:rPr>
      </w:pPr>
      <w:r w:rsidRPr="004D1C1B">
        <w:rPr>
          <w:sz w:val="21"/>
          <w:szCs w:val="21"/>
          <w:lang w:val="en-GB"/>
        </w:rPr>
        <w:t xml:space="preserve">This webpage disclosure is reviewed at least annually and updated where there are material changes (e.g., launch of a new fund, updates to Regulation (EU) 2019/2088 of the European Parliament and of the Council of 27 November 2019 on sustainability-related disclosures in the financial services sector (the “SFDR”), </w:t>
      </w:r>
      <w:r w:rsidR="00445111" w:rsidRPr="004D1C1B">
        <w:rPr>
          <w:sz w:val="21"/>
          <w:szCs w:val="21"/>
          <w:lang w:val="en-GB"/>
        </w:rPr>
        <w:t xml:space="preserve">Regulation (EU) 2020/852 of the European Parliament and of the Council of 18 June 2020 on the establishment of a framework to facilitate sustainable investment, and amending Regulation (EU) 2019/2088 (the “TR”), </w:t>
      </w:r>
      <w:r w:rsidRPr="004D1C1B">
        <w:rPr>
          <w:sz w:val="21"/>
          <w:szCs w:val="21"/>
          <w:lang w:val="en-GB"/>
        </w:rPr>
        <w:t>Commission Delegated Regulation (EU) 2022/1288</w:t>
      </w:r>
      <w:r w:rsidR="00445111" w:rsidRPr="004D1C1B">
        <w:rPr>
          <w:sz w:val="21"/>
          <w:szCs w:val="21"/>
          <w:lang w:val="en-GB"/>
        </w:rPr>
        <w:t xml:space="preserve"> of 6 April 2022</w:t>
      </w:r>
      <w:r w:rsidRPr="004D1C1B">
        <w:rPr>
          <w:sz w:val="21"/>
          <w:szCs w:val="21"/>
          <w:lang w:val="en-GB"/>
        </w:rPr>
        <w:t xml:space="preserve">, </w:t>
      </w:r>
      <w:r w:rsidR="00445111" w:rsidRPr="004D1C1B">
        <w:rPr>
          <w:sz w:val="21"/>
          <w:szCs w:val="21"/>
          <w:lang w:val="en-GB"/>
        </w:rPr>
        <w:t xml:space="preserve">supplementing Regulation (EU) 2019/2088 of the European Parliament and of the Council with regard to regulatory technical standards specifying the details of the content and presentation of the information in relation to the principle of ‘do no significant harm’,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 contractual documents, on websites and in periodic reports </w:t>
      </w:r>
      <w:r w:rsidRPr="004D1C1B">
        <w:rPr>
          <w:sz w:val="21"/>
          <w:szCs w:val="21"/>
          <w:lang w:val="en-GB"/>
        </w:rPr>
        <w:t>(the “RTS”), and other applicable regulatory technical standards adopted pursuant to the SFDR, or updates to the Firm’s policies and procedures).</w:t>
      </w:r>
    </w:p>
    <w:p w14:paraId="2BE6D547" w14:textId="77777777" w:rsidR="00A15096" w:rsidRPr="004D1C1B" w:rsidRDefault="00A15096" w:rsidP="00D90091">
      <w:pPr>
        <w:jc w:val="both"/>
        <w:rPr>
          <w:sz w:val="21"/>
          <w:szCs w:val="21"/>
          <w:lang w:val="en-GB"/>
        </w:rPr>
      </w:pPr>
    </w:p>
    <w:p w14:paraId="2704A228" w14:textId="77777777" w:rsidR="00CF64CF" w:rsidRPr="004D1C1B" w:rsidRDefault="00CF64CF" w:rsidP="00D90091">
      <w:pPr>
        <w:pStyle w:val="BodyText"/>
        <w:jc w:val="both"/>
        <w:rPr>
          <w:lang w:val="en-GB"/>
        </w:rPr>
      </w:pPr>
    </w:p>
    <w:p w14:paraId="77CD9093" w14:textId="77777777" w:rsidR="00CF64CF" w:rsidRPr="004D1C1B" w:rsidRDefault="00367AA2" w:rsidP="00D90091">
      <w:pPr>
        <w:pStyle w:val="Title"/>
        <w:spacing w:before="0"/>
        <w:ind w:left="0"/>
        <w:rPr>
          <w:color w:val="1E3763"/>
          <w:lang w:val="en-GB"/>
        </w:rPr>
      </w:pPr>
      <w:r w:rsidRPr="004D1C1B">
        <w:rPr>
          <w:color w:val="1E3763"/>
          <w:spacing w:val="-6"/>
          <w:lang w:val="en-GB"/>
        </w:rPr>
        <w:t>SUSTAINABILITY-RELATED</w:t>
      </w:r>
      <w:r w:rsidRPr="004D1C1B">
        <w:rPr>
          <w:color w:val="1E3763"/>
          <w:spacing w:val="2"/>
          <w:lang w:val="en-GB"/>
        </w:rPr>
        <w:t xml:space="preserve"> </w:t>
      </w:r>
      <w:r w:rsidRPr="004D1C1B">
        <w:rPr>
          <w:color w:val="1E3763"/>
          <w:spacing w:val="-6"/>
          <w:lang w:val="en-GB"/>
        </w:rPr>
        <w:t>DISCLOSURES</w:t>
      </w:r>
    </w:p>
    <w:p w14:paraId="1CC32E40" w14:textId="6A43B22B" w:rsidR="00A15096" w:rsidRPr="004D1C1B" w:rsidRDefault="00A15096">
      <w:pPr>
        <w:pStyle w:val="BodyText"/>
        <w:jc w:val="both"/>
        <w:rPr>
          <w:lang w:val="en-GB"/>
        </w:rPr>
      </w:pPr>
    </w:p>
    <w:p w14:paraId="5871F028" w14:textId="54BDC206" w:rsidR="004D1C1B" w:rsidRPr="004D1C1B" w:rsidRDefault="00A15096" w:rsidP="00D90091">
      <w:pPr>
        <w:jc w:val="both"/>
        <w:rPr>
          <w:lang w:val="en-GB"/>
        </w:rPr>
      </w:pPr>
      <w:r w:rsidRPr="004D1C1B">
        <w:rPr>
          <w:lang w:val="en-GB"/>
        </w:rPr>
        <w:t>The information below refers to activities and procedures related to the compliance of Invera Equity Partners</w:t>
      </w:r>
      <w:r w:rsidR="004D1C1B" w:rsidRPr="00A243AF">
        <w:rPr>
          <w:lang w:val="en-GB"/>
        </w:rPr>
        <w:t>’</w:t>
      </w:r>
      <w:r w:rsidRPr="004D1C1B">
        <w:rPr>
          <w:lang w:val="en-GB"/>
        </w:rPr>
        <w:t xml:space="preserve"> (the “Firm”)</w:t>
      </w:r>
      <w:r w:rsidR="004D1C1B" w:rsidRPr="004D1C1B">
        <w:rPr>
          <w:lang w:val="en-GB"/>
        </w:rPr>
        <w:t xml:space="preserve"> public website disclosures under the SFDR and the TR. Certain additional sustainability-related commitments applicable to Fund II under its constitutive documents and relevant investor side letters inform the Firm’s ESG processes; however, investor-specific rights, undertakings and reporting arrangements are set out in the relevant fund documentation and are not exhaustively repeated on this webpage.</w:t>
      </w:r>
    </w:p>
    <w:p w14:paraId="505243ED" w14:textId="77777777" w:rsidR="00A15096" w:rsidRPr="004D1C1B" w:rsidRDefault="00A15096" w:rsidP="00D90091">
      <w:pPr>
        <w:pStyle w:val="BodyText"/>
        <w:jc w:val="both"/>
        <w:rPr>
          <w:lang w:val="en-GB"/>
        </w:rPr>
      </w:pPr>
    </w:p>
    <w:p w14:paraId="6D91B6B4" w14:textId="128FFB52" w:rsidR="00480950" w:rsidRPr="004D1C1B" w:rsidRDefault="00480950" w:rsidP="00DC6D28">
      <w:pPr>
        <w:pStyle w:val="BodyText"/>
        <w:jc w:val="both"/>
        <w:rPr>
          <w:lang w:val="en-GB"/>
        </w:rPr>
      </w:pPr>
      <w:r w:rsidRPr="004D1C1B">
        <w:rPr>
          <w:lang w:val="en-GB"/>
        </w:rPr>
        <w:t>Invera currently manages two private equity funds:</w:t>
      </w:r>
    </w:p>
    <w:p w14:paraId="46193CDC" w14:textId="77777777" w:rsidR="00DC6D28" w:rsidRPr="004D1C1B" w:rsidRDefault="00DC6D28" w:rsidP="00D90091">
      <w:pPr>
        <w:pStyle w:val="BodyText"/>
        <w:jc w:val="both"/>
        <w:rPr>
          <w:lang w:val="en-GB"/>
        </w:rPr>
      </w:pPr>
    </w:p>
    <w:p w14:paraId="77946AFC" w14:textId="646B3DB9" w:rsidR="00480950" w:rsidRPr="004D1C1B" w:rsidRDefault="00480950" w:rsidP="00D90091">
      <w:pPr>
        <w:pStyle w:val="BodyText"/>
        <w:numPr>
          <w:ilvl w:val="0"/>
          <w:numId w:val="1"/>
        </w:numPr>
        <w:ind w:left="426" w:hanging="426"/>
        <w:jc w:val="both"/>
        <w:rPr>
          <w:lang w:val="en-GB"/>
        </w:rPr>
      </w:pPr>
      <w:r w:rsidRPr="004D1C1B">
        <w:rPr>
          <w:lang w:val="en-GB"/>
        </w:rPr>
        <w:t>Invera Private Equity Fund C.V. (“Fund I”) is classified as a financial product under Article 6 of the SFDR, which means it integrates sustainability risks into investment decisions without promoting environmental or social characteristics, and does not have sustainable investment as its objective; and</w:t>
      </w:r>
    </w:p>
    <w:p w14:paraId="24305283" w14:textId="767E4963" w:rsidR="00CF64CF" w:rsidRPr="004D1C1B" w:rsidRDefault="00480950" w:rsidP="00D90091">
      <w:pPr>
        <w:pStyle w:val="BodyText"/>
        <w:numPr>
          <w:ilvl w:val="0"/>
          <w:numId w:val="1"/>
        </w:numPr>
        <w:ind w:left="426" w:hanging="426"/>
        <w:jc w:val="both"/>
        <w:rPr>
          <w:lang w:val="en-GB"/>
        </w:rPr>
      </w:pPr>
      <w:r w:rsidRPr="004D1C1B">
        <w:rPr>
          <w:lang w:val="en-GB"/>
        </w:rPr>
        <w:t xml:space="preserve">Invera Private Equity Fund II C.V. (“Fund II”) is a newly launched fund classified as a financial product under Article 8 of the SFDR. It promotes environmental and social characteristics, applies minimum safeguards, and integrates </w:t>
      </w:r>
      <w:r w:rsidR="00445111" w:rsidRPr="004D1C1B">
        <w:rPr>
          <w:lang w:val="en-GB"/>
        </w:rPr>
        <w:t>environmental, social and governance (“</w:t>
      </w:r>
      <w:r w:rsidRPr="004D1C1B">
        <w:rPr>
          <w:lang w:val="en-GB"/>
        </w:rPr>
        <w:t>ESG</w:t>
      </w:r>
      <w:r w:rsidR="00445111" w:rsidRPr="004D1C1B">
        <w:rPr>
          <w:lang w:val="en-GB"/>
        </w:rPr>
        <w:t>”)</w:t>
      </w:r>
      <w:r w:rsidRPr="004D1C1B">
        <w:rPr>
          <w:lang w:val="en-GB"/>
        </w:rPr>
        <w:t xml:space="preserve"> factors into the investment process, in line with </w:t>
      </w:r>
      <w:proofErr w:type="spellStart"/>
      <w:r w:rsidRPr="004D1C1B">
        <w:rPr>
          <w:lang w:val="en-GB"/>
        </w:rPr>
        <w:t>Invera’s</w:t>
      </w:r>
      <w:proofErr w:type="spellEnd"/>
      <w:r w:rsidRPr="004D1C1B">
        <w:rPr>
          <w:lang w:val="en-GB"/>
        </w:rPr>
        <w:t xml:space="preserve"> Responsible Investment Policy and the SFDR Pre-Contractual Disclosure Annex</w:t>
      </w:r>
      <w:r w:rsidR="004D1C1B" w:rsidRPr="004D1C1B">
        <w:rPr>
          <w:lang w:val="en-GB"/>
        </w:rPr>
        <w:t>. Where relevant, additional sustainability-related commitments contained in Fund II’s constitutive documents and certain investor side letters also inform the ESG process applied to Fund II</w:t>
      </w:r>
      <w:r w:rsidRPr="004D1C1B">
        <w:rPr>
          <w:lang w:val="en-GB"/>
        </w:rPr>
        <w:t xml:space="preserve">; </w:t>
      </w:r>
    </w:p>
    <w:p w14:paraId="1820122B" w14:textId="77777777" w:rsidR="00DC6D28" w:rsidRPr="004D1C1B" w:rsidRDefault="00DC6D28" w:rsidP="00D90091">
      <w:pPr>
        <w:pStyle w:val="BodyText"/>
        <w:ind w:left="720"/>
        <w:jc w:val="both"/>
        <w:rPr>
          <w:lang w:val="en-GB"/>
        </w:rPr>
      </w:pPr>
    </w:p>
    <w:p w14:paraId="1A8949DA" w14:textId="05609702" w:rsidR="00480950" w:rsidRPr="004D1C1B" w:rsidRDefault="00480950" w:rsidP="00DC6D28">
      <w:pPr>
        <w:pStyle w:val="BodyText"/>
        <w:jc w:val="both"/>
        <w:rPr>
          <w:lang w:val="en-GB"/>
        </w:rPr>
      </w:pPr>
      <w:r w:rsidRPr="004D1C1B">
        <w:rPr>
          <w:lang w:val="en-GB"/>
        </w:rPr>
        <w:t xml:space="preserve">together, Fund I and Fund II are the products (the “Products”) managed by the Firm. </w:t>
      </w:r>
    </w:p>
    <w:p w14:paraId="52939540" w14:textId="77777777" w:rsidR="00505257" w:rsidRPr="004D1C1B" w:rsidRDefault="00505257" w:rsidP="00DC6D28">
      <w:pPr>
        <w:pStyle w:val="BodyText"/>
        <w:jc w:val="both"/>
        <w:rPr>
          <w:lang w:val="en-GB"/>
        </w:rPr>
      </w:pPr>
    </w:p>
    <w:p w14:paraId="6C568139" w14:textId="5F25813F" w:rsidR="00505257" w:rsidRPr="004D1C1B" w:rsidRDefault="00505257" w:rsidP="00DC6D28">
      <w:pPr>
        <w:pStyle w:val="BodyText"/>
        <w:jc w:val="both"/>
        <w:rPr>
          <w:lang w:val="en-GB"/>
        </w:rPr>
      </w:pPr>
      <w:r w:rsidRPr="004D1C1B">
        <w:rPr>
          <w:lang w:val="en-GB"/>
        </w:rPr>
        <w:t xml:space="preserve">The disclosures below include both entity-level disclosures applicable to the Firm and product-level disclosures applicable to </w:t>
      </w:r>
      <w:r w:rsidR="00A15096" w:rsidRPr="004D1C1B">
        <w:rPr>
          <w:lang w:val="en-GB"/>
        </w:rPr>
        <w:t xml:space="preserve">Fund I as an Article 6 Fund and </w:t>
      </w:r>
      <w:r w:rsidRPr="004D1C1B">
        <w:rPr>
          <w:lang w:val="en-GB"/>
        </w:rPr>
        <w:t>Fund II as an Article 8 financial product under the SFDR.</w:t>
      </w:r>
      <w:r w:rsidR="004D1C1B" w:rsidRPr="004D1C1B">
        <w:rPr>
          <w:lang w:val="en-GB"/>
        </w:rPr>
        <w:t xml:space="preserve"> For Fund II, these website disclosures should be read together with the applicable SFDR pre-contractual disclosures and any periodic disclosures prepared under applicable law.</w:t>
      </w:r>
    </w:p>
    <w:p w14:paraId="2F79BF2C" w14:textId="77777777" w:rsidR="00DC6D28" w:rsidRPr="004D1C1B" w:rsidRDefault="00DC6D28" w:rsidP="00D90091">
      <w:pPr>
        <w:pStyle w:val="BodyText"/>
        <w:jc w:val="both"/>
        <w:rPr>
          <w:lang w:val="en-GB"/>
        </w:rPr>
      </w:pPr>
    </w:p>
    <w:p w14:paraId="6CDA2FD9" w14:textId="77777777" w:rsidR="00CF64CF" w:rsidRPr="004D1C1B" w:rsidRDefault="00367AA2" w:rsidP="00D90091">
      <w:pPr>
        <w:pStyle w:val="BodyText"/>
        <w:jc w:val="both"/>
        <w:rPr>
          <w:lang w:val="en-GB"/>
        </w:rPr>
      </w:pPr>
      <w:r w:rsidRPr="004D1C1B">
        <w:rPr>
          <w:lang w:val="en-GB"/>
        </w:rPr>
        <w:t>The above-mentioned regulatory requirements aim to achieve greater transparency regarding how financial</w:t>
      </w:r>
      <w:r w:rsidRPr="004D1C1B">
        <w:rPr>
          <w:spacing w:val="-5"/>
          <w:lang w:val="en-GB"/>
        </w:rPr>
        <w:t xml:space="preserve"> </w:t>
      </w:r>
      <w:r w:rsidRPr="004D1C1B">
        <w:rPr>
          <w:lang w:val="en-GB"/>
        </w:rPr>
        <w:t>market</w:t>
      </w:r>
      <w:r w:rsidRPr="004D1C1B">
        <w:rPr>
          <w:spacing w:val="-7"/>
          <w:lang w:val="en-GB"/>
        </w:rPr>
        <w:t xml:space="preserve"> </w:t>
      </w:r>
      <w:r w:rsidRPr="004D1C1B">
        <w:rPr>
          <w:lang w:val="en-GB"/>
        </w:rPr>
        <w:t>participants</w:t>
      </w:r>
      <w:r w:rsidRPr="004D1C1B">
        <w:rPr>
          <w:spacing w:val="-7"/>
          <w:lang w:val="en-GB"/>
        </w:rPr>
        <w:t xml:space="preserve"> </w:t>
      </w:r>
      <w:r w:rsidRPr="004D1C1B">
        <w:rPr>
          <w:lang w:val="en-GB"/>
        </w:rPr>
        <w:t>take</w:t>
      </w:r>
      <w:r w:rsidRPr="004D1C1B">
        <w:rPr>
          <w:spacing w:val="-4"/>
          <w:lang w:val="en-GB"/>
        </w:rPr>
        <w:t xml:space="preserve"> </w:t>
      </w:r>
      <w:r w:rsidRPr="004D1C1B">
        <w:rPr>
          <w:lang w:val="en-GB"/>
        </w:rPr>
        <w:t>sustainability</w:t>
      </w:r>
      <w:r w:rsidRPr="004D1C1B">
        <w:rPr>
          <w:spacing w:val="-2"/>
          <w:lang w:val="en-GB"/>
        </w:rPr>
        <w:t xml:space="preserve"> </w:t>
      </w:r>
      <w:r w:rsidRPr="004D1C1B">
        <w:rPr>
          <w:lang w:val="en-GB"/>
        </w:rPr>
        <w:t>factors</w:t>
      </w:r>
      <w:r w:rsidRPr="004D1C1B">
        <w:rPr>
          <w:spacing w:val="-7"/>
          <w:lang w:val="en-GB"/>
        </w:rPr>
        <w:t xml:space="preserve"> </w:t>
      </w:r>
      <w:r w:rsidRPr="004D1C1B">
        <w:rPr>
          <w:lang w:val="en-GB"/>
        </w:rPr>
        <w:t>into</w:t>
      </w:r>
      <w:r w:rsidRPr="004D1C1B">
        <w:rPr>
          <w:spacing w:val="-5"/>
          <w:lang w:val="en-GB"/>
        </w:rPr>
        <w:t xml:space="preserve"> </w:t>
      </w:r>
      <w:r w:rsidRPr="004D1C1B">
        <w:rPr>
          <w:lang w:val="en-GB"/>
        </w:rPr>
        <w:t>account</w:t>
      </w:r>
      <w:r w:rsidRPr="004D1C1B">
        <w:rPr>
          <w:spacing w:val="-7"/>
          <w:lang w:val="en-GB"/>
        </w:rPr>
        <w:t xml:space="preserve"> </w:t>
      </w:r>
      <w:r w:rsidRPr="004D1C1B">
        <w:rPr>
          <w:lang w:val="en-GB"/>
        </w:rPr>
        <w:t>when</w:t>
      </w:r>
      <w:r w:rsidRPr="004D1C1B">
        <w:rPr>
          <w:spacing w:val="-5"/>
          <w:lang w:val="en-GB"/>
        </w:rPr>
        <w:t xml:space="preserve"> </w:t>
      </w:r>
      <w:r w:rsidRPr="004D1C1B">
        <w:rPr>
          <w:lang w:val="en-GB"/>
        </w:rPr>
        <w:t>making</w:t>
      </w:r>
      <w:r w:rsidRPr="004D1C1B">
        <w:rPr>
          <w:spacing w:val="-5"/>
          <w:lang w:val="en-GB"/>
        </w:rPr>
        <w:t xml:space="preserve"> </w:t>
      </w:r>
      <w:r w:rsidRPr="004D1C1B">
        <w:rPr>
          <w:lang w:val="en-GB"/>
        </w:rPr>
        <w:t>business</w:t>
      </w:r>
      <w:r w:rsidRPr="004D1C1B">
        <w:rPr>
          <w:spacing w:val="-6"/>
          <w:lang w:val="en-GB"/>
        </w:rPr>
        <w:t xml:space="preserve"> </w:t>
      </w:r>
      <w:r w:rsidRPr="004D1C1B">
        <w:rPr>
          <w:lang w:val="en-GB"/>
        </w:rPr>
        <w:t>and</w:t>
      </w:r>
      <w:r w:rsidRPr="004D1C1B">
        <w:rPr>
          <w:spacing w:val="-6"/>
          <w:lang w:val="en-GB"/>
        </w:rPr>
        <w:t xml:space="preserve"> </w:t>
      </w:r>
      <w:r w:rsidRPr="004D1C1B">
        <w:rPr>
          <w:lang w:val="en-GB"/>
        </w:rPr>
        <w:t>investment decisions, and how sustainability-related risks are considered in their business and investment decisions. The main purpose is to give investors better insight and information related to sustainability in a simple, comparable,</w:t>
      </w:r>
      <w:r w:rsidRPr="004D1C1B">
        <w:rPr>
          <w:spacing w:val="-6"/>
          <w:lang w:val="en-GB"/>
        </w:rPr>
        <w:t xml:space="preserve"> </w:t>
      </w:r>
      <w:r w:rsidRPr="004D1C1B">
        <w:rPr>
          <w:lang w:val="en-GB"/>
        </w:rPr>
        <w:t>and</w:t>
      </w:r>
      <w:r w:rsidRPr="004D1C1B">
        <w:rPr>
          <w:spacing w:val="-3"/>
          <w:lang w:val="en-GB"/>
        </w:rPr>
        <w:t xml:space="preserve"> </w:t>
      </w:r>
      <w:r w:rsidRPr="004D1C1B">
        <w:rPr>
          <w:lang w:val="en-GB"/>
        </w:rPr>
        <w:t>comprehensible</w:t>
      </w:r>
      <w:r w:rsidRPr="004D1C1B">
        <w:rPr>
          <w:spacing w:val="-5"/>
          <w:lang w:val="en-GB"/>
        </w:rPr>
        <w:t xml:space="preserve"> </w:t>
      </w:r>
      <w:r w:rsidRPr="004D1C1B">
        <w:rPr>
          <w:lang w:val="en-GB"/>
        </w:rPr>
        <w:t>way</w:t>
      </w:r>
      <w:r w:rsidRPr="004D1C1B">
        <w:rPr>
          <w:spacing w:val="-6"/>
          <w:lang w:val="en-GB"/>
        </w:rPr>
        <w:t xml:space="preserve"> </w:t>
      </w:r>
      <w:proofErr w:type="gramStart"/>
      <w:r w:rsidRPr="004D1C1B">
        <w:rPr>
          <w:lang w:val="en-GB"/>
        </w:rPr>
        <w:t>in</w:t>
      </w:r>
      <w:r w:rsidRPr="004D1C1B">
        <w:rPr>
          <w:spacing w:val="-6"/>
          <w:lang w:val="en-GB"/>
        </w:rPr>
        <w:t xml:space="preserve"> </w:t>
      </w:r>
      <w:r w:rsidRPr="004D1C1B">
        <w:rPr>
          <w:lang w:val="en-GB"/>
        </w:rPr>
        <w:t>order</w:t>
      </w:r>
      <w:r w:rsidRPr="004D1C1B">
        <w:rPr>
          <w:spacing w:val="-6"/>
          <w:lang w:val="en-GB"/>
        </w:rPr>
        <w:t xml:space="preserve"> </w:t>
      </w:r>
      <w:r w:rsidRPr="004D1C1B">
        <w:rPr>
          <w:lang w:val="en-GB"/>
        </w:rPr>
        <w:t>to</w:t>
      </w:r>
      <w:proofErr w:type="gramEnd"/>
      <w:r w:rsidRPr="004D1C1B">
        <w:rPr>
          <w:spacing w:val="-6"/>
          <w:lang w:val="en-GB"/>
        </w:rPr>
        <w:t xml:space="preserve"> </w:t>
      </w:r>
      <w:r w:rsidRPr="004D1C1B">
        <w:rPr>
          <w:lang w:val="en-GB"/>
        </w:rPr>
        <w:t>make</w:t>
      </w:r>
      <w:r w:rsidRPr="004D1C1B">
        <w:rPr>
          <w:spacing w:val="-9"/>
          <w:lang w:val="en-GB"/>
        </w:rPr>
        <w:t xml:space="preserve"> </w:t>
      </w:r>
      <w:r w:rsidRPr="004D1C1B">
        <w:rPr>
          <w:lang w:val="en-GB"/>
        </w:rPr>
        <w:t>investment</w:t>
      </w:r>
      <w:r w:rsidRPr="004D1C1B">
        <w:rPr>
          <w:spacing w:val="-6"/>
          <w:lang w:val="en-GB"/>
        </w:rPr>
        <w:t xml:space="preserve"> </w:t>
      </w:r>
      <w:r w:rsidRPr="004D1C1B">
        <w:rPr>
          <w:lang w:val="en-GB"/>
        </w:rPr>
        <w:t>decisions</w:t>
      </w:r>
      <w:r w:rsidRPr="004D1C1B">
        <w:rPr>
          <w:spacing w:val="-5"/>
          <w:lang w:val="en-GB"/>
        </w:rPr>
        <w:t xml:space="preserve"> </w:t>
      </w:r>
      <w:r w:rsidRPr="004D1C1B">
        <w:rPr>
          <w:lang w:val="en-GB"/>
        </w:rPr>
        <w:t>in</w:t>
      </w:r>
      <w:r w:rsidRPr="004D1C1B">
        <w:rPr>
          <w:spacing w:val="-5"/>
          <w:lang w:val="en-GB"/>
        </w:rPr>
        <w:t xml:space="preserve"> </w:t>
      </w:r>
      <w:r w:rsidRPr="004D1C1B">
        <w:rPr>
          <w:lang w:val="en-GB"/>
        </w:rPr>
        <w:t>a</w:t>
      </w:r>
      <w:r w:rsidRPr="004D1C1B">
        <w:rPr>
          <w:spacing w:val="-5"/>
          <w:lang w:val="en-GB"/>
        </w:rPr>
        <w:t xml:space="preserve"> </w:t>
      </w:r>
      <w:r w:rsidRPr="004D1C1B">
        <w:rPr>
          <w:lang w:val="en-GB"/>
        </w:rPr>
        <w:t>specific</w:t>
      </w:r>
      <w:r w:rsidRPr="004D1C1B">
        <w:rPr>
          <w:spacing w:val="-4"/>
          <w:lang w:val="en-GB"/>
        </w:rPr>
        <w:t xml:space="preserve"> </w:t>
      </w:r>
      <w:r w:rsidRPr="004D1C1B">
        <w:rPr>
          <w:lang w:val="en-GB"/>
        </w:rPr>
        <w:t>financial</w:t>
      </w:r>
      <w:r w:rsidRPr="004D1C1B">
        <w:rPr>
          <w:spacing w:val="-6"/>
          <w:lang w:val="en-GB"/>
        </w:rPr>
        <w:t xml:space="preserve"> </w:t>
      </w:r>
      <w:r w:rsidRPr="004D1C1B">
        <w:rPr>
          <w:lang w:val="en-GB"/>
        </w:rPr>
        <w:t>product.</w:t>
      </w:r>
    </w:p>
    <w:p w14:paraId="096A83E2" w14:textId="77777777" w:rsidR="00CF64CF" w:rsidRPr="004D1C1B" w:rsidRDefault="00CF64CF" w:rsidP="00D90091">
      <w:pPr>
        <w:pStyle w:val="BodyText"/>
        <w:jc w:val="both"/>
        <w:rPr>
          <w:lang w:val="en-GB"/>
        </w:rPr>
      </w:pPr>
    </w:p>
    <w:p w14:paraId="565225BB" w14:textId="77777777" w:rsidR="00CF64CF" w:rsidRPr="004D1C1B" w:rsidRDefault="00CF64CF" w:rsidP="00D90091">
      <w:pPr>
        <w:pStyle w:val="BodyText"/>
        <w:jc w:val="both"/>
        <w:rPr>
          <w:lang w:val="en-GB"/>
        </w:rPr>
      </w:pPr>
    </w:p>
    <w:p w14:paraId="287E4C5B" w14:textId="77777777" w:rsidR="00CF64CF" w:rsidRPr="004D1C1B" w:rsidRDefault="00367AA2" w:rsidP="00D90091">
      <w:pPr>
        <w:pStyle w:val="Heading1"/>
        <w:ind w:left="0"/>
        <w:jc w:val="both"/>
        <w:rPr>
          <w:color w:val="1E3763"/>
          <w:spacing w:val="-2"/>
          <w:u w:color="1E3763"/>
          <w:lang w:val="en-GB"/>
        </w:rPr>
      </w:pPr>
      <w:r w:rsidRPr="004D1C1B">
        <w:rPr>
          <w:color w:val="1E3763"/>
          <w:u w:color="1E3763"/>
          <w:lang w:val="en-GB"/>
        </w:rPr>
        <w:lastRenderedPageBreak/>
        <w:t>No consideration of</w:t>
      </w:r>
      <w:r w:rsidRPr="004D1C1B">
        <w:rPr>
          <w:color w:val="1E3763"/>
          <w:spacing w:val="3"/>
          <w:u w:color="1E3763"/>
          <w:lang w:val="en-GB"/>
        </w:rPr>
        <w:t xml:space="preserve"> </w:t>
      </w:r>
      <w:r w:rsidRPr="004D1C1B">
        <w:rPr>
          <w:color w:val="1E3763"/>
          <w:u w:color="1E3763"/>
          <w:lang w:val="en-GB"/>
        </w:rPr>
        <w:t>adverse</w:t>
      </w:r>
      <w:r w:rsidRPr="004D1C1B">
        <w:rPr>
          <w:color w:val="1E3763"/>
          <w:spacing w:val="-1"/>
          <w:u w:color="1E3763"/>
          <w:lang w:val="en-GB"/>
        </w:rPr>
        <w:t xml:space="preserve"> </w:t>
      </w:r>
      <w:r w:rsidRPr="004D1C1B">
        <w:rPr>
          <w:color w:val="1E3763"/>
          <w:u w:color="1E3763"/>
          <w:lang w:val="en-GB"/>
        </w:rPr>
        <w:t>impacts</w:t>
      </w:r>
      <w:r w:rsidRPr="004D1C1B">
        <w:rPr>
          <w:color w:val="1E3763"/>
          <w:spacing w:val="2"/>
          <w:u w:color="1E3763"/>
          <w:lang w:val="en-GB"/>
        </w:rPr>
        <w:t xml:space="preserve"> </w:t>
      </w:r>
      <w:r w:rsidRPr="004D1C1B">
        <w:rPr>
          <w:color w:val="1E3763"/>
          <w:u w:color="1E3763"/>
          <w:lang w:val="en-GB"/>
        </w:rPr>
        <w:t>of investment</w:t>
      </w:r>
      <w:r w:rsidRPr="004D1C1B">
        <w:rPr>
          <w:color w:val="1E3763"/>
          <w:spacing w:val="1"/>
          <w:u w:color="1E3763"/>
          <w:lang w:val="en-GB"/>
        </w:rPr>
        <w:t xml:space="preserve"> </w:t>
      </w:r>
      <w:r w:rsidRPr="004D1C1B">
        <w:rPr>
          <w:color w:val="1E3763"/>
          <w:u w:color="1E3763"/>
          <w:lang w:val="en-GB"/>
        </w:rPr>
        <w:t>decisions</w:t>
      </w:r>
      <w:r w:rsidRPr="004D1C1B">
        <w:rPr>
          <w:color w:val="1E3763"/>
          <w:spacing w:val="-1"/>
          <w:u w:color="1E3763"/>
          <w:lang w:val="en-GB"/>
        </w:rPr>
        <w:t xml:space="preserve"> </w:t>
      </w:r>
      <w:r w:rsidRPr="004D1C1B">
        <w:rPr>
          <w:color w:val="1E3763"/>
          <w:u w:color="1E3763"/>
          <w:lang w:val="en-GB"/>
        </w:rPr>
        <w:t>on</w:t>
      </w:r>
      <w:r w:rsidRPr="004D1C1B">
        <w:rPr>
          <w:color w:val="1E3763"/>
          <w:spacing w:val="1"/>
          <w:u w:color="1E3763"/>
          <w:lang w:val="en-GB"/>
        </w:rPr>
        <w:t xml:space="preserve"> </w:t>
      </w:r>
      <w:r w:rsidRPr="004D1C1B">
        <w:rPr>
          <w:color w:val="1E3763"/>
          <w:u w:color="1E3763"/>
          <w:lang w:val="en-GB"/>
        </w:rPr>
        <w:t xml:space="preserve">sustainability </w:t>
      </w:r>
      <w:r w:rsidRPr="004D1C1B">
        <w:rPr>
          <w:color w:val="1E3763"/>
          <w:spacing w:val="-2"/>
          <w:u w:color="1E3763"/>
          <w:lang w:val="en-GB"/>
        </w:rPr>
        <w:t>factors</w:t>
      </w:r>
    </w:p>
    <w:p w14:paraId="3F119A2B" w14:textId="77777777" w:rsidR="00A15096" w:rsidRPr="004D1C1B" w:rsidRDefault="00A15096">
      <w:pPr>
        <w:pStyle w:val="BodyText"/>
        <w:jc w:val="both"/>
        <w:rPr>
          <w:lang w:val="en-GB"/>
        </w:rPr>
      </w:pPr>
    </w:p>
    <w:p w14:paraId="387EA143" w14:textId="15106581" w:rsidR="00A15096" w:rsidRPr="004D1C1B" w:rsidRDefault="00A15096" w:rsidP="00D90091">
      <w:pPr>
        <w:pStyle w:val="BodyText"/>
        <w:jc w:val="both"/>
        <w:rPr>
          <w:lang w:val="en-GB"/>
        </w:rPr>
      </w:pPr>
      <w:r w:rsidRPr="004D1C1B">
        <w:rPr>
          <w:lang w:val="en-GB"/>
        </w:rPr>
        <w:t>At entity level</w:t>
      </w:r>
      <w:r w:rsidR="004D1C1B" w:rsidRPr="004D1C1B">
        <w:rPr>
          <w:lang w:val="en-GB"/>
        </w:rPr>
        <w:t xml:space="preserve"> of the Firm</w:t>
      </w:r>
      <w:r w:rsidRPr="004D1C1B">
        <w:rPr>
          <w:lang w:val="en-GB"/>
        </w:rPr>
        <w:t xml:space="preserve">, and with respect to Fund I, the Firm has decided not to </w:t>
      </w:r>
      <w:proofErr w:type="gramStart"/>
      <w:r w:rsidRPr="004D1C1B">
        <w:rPr>
          <w:lang w:val="en-GB"/>
        </w:rPr>
        <w:t>take into account</w:t>
      </w:r>
      <w:proofErr w:type="gramEnd"/>
      <w:r w:rsidRPr="004D1C1B">
        <w:rPr>
          <w:lang w:val="en-GB"/>
        </w:rPr>
        <w:t xml:space="preserve"> and does not intend to </w:t>
      </w:r>
      <w:proofErr w:type="gramStart"/>
      <w:r w:rsidRPr="004D1C1B">
        <w:rPr>
          <w:lang w:val="en-GB"/>
        </w:rPr>
        <w:t>take into account</w:t>
      </w:r>
      <w:proofErr w:type="gramEnd"/>
      <w:r w:rsidRPr="004D1C1B">
        <w:rPr>
          <w:lang w:val="en-GB"/>
        </w:rPr>
        <w:t xml:space="preserve"> principal adverse impacts of investment decisions on sustainability factors in accordance with Article 4(1)(b) of SFDR and Article 12 of </w:t>
      </w:r>
      <w:r w:rsidR="00ED1395" w:rsidRPr="004D1C1B">
        <w:rPr>
          <w:lang w:val="en-GB"/>
        </w:rPr>
        <w:t>RTS</w:t>
      </w:r>
      <w:r w:rsidRPr="004D1C1B">
        <w:rPr>
          <w:lang w:val="en-GB"/>
        </w:rPr>
        <w:t xml:space="preserve">. </w:t>
      </w:r>
    </w:p>
    <w:p w14:paraId="7AB9407A" w14:textId="77777777" w:rsidR="00A15096" w:rsidRPr="004D1C1B" w:rsidRDefault="00A15096" w:rsidP="00D90091">
      <w:pPr>
        <w:pStyle w:val="BodyText"/>
        <w:jc w:val="both"/>
        <w:rPr>
          <w:lang w:val="en-GB"/>
        </w:rPr>
      </w:pPr>
    </w:p>
    <w:p w14:paraId="685B0381" w14:textId="1759F591" w:rsidR="00CF64CF" w:rsidRPr="004D1C1B" w:rsidRDefault="00A15096" w:rsidP="00D90091">
      <w:pPr>
        <w:pStyle w:val="BodyText"/>
        <w:jc w:val="both"/>
        <w:rPr>
          <w:lang w:val="en-GB"/>
        </w:rPr>
      </w:pPr>
      <w:r w:rsidRPr="004D1C1B">
        <w:rPr>
          <w:lang w:val="en-GB"/>
        </w:rPr>
        <w:t xml:space="preserve">In </w:t>
      </w:r>
      <w:r w:rsidR="004D1C1B" w:rsidRPr="004D1C1B">
        <w:rPr>
          <w:lang w:val="en-GB"/>
        </w:rPr>
        <w:t>a</w:t>
      </w:r>
      <w:r w:rsidRPr="004D1C1B">
        <w:rPr>
          <w:lang w:val="en-GB"/>
        </w:rPr>
        <w:t xml:space="preserve">ddition, the Firm has decided that </w:t>
      </w:r>
      <w:r w:rsidR="00B2576D" w:rsidRPr="004D1C1B">
        <w:rPr>
          <w:lang w:val="en-GB"/>
        </w:rPr>
        <w:t>Fund II</w:t>
      </w:r>
      <w:r w:rsidRPr="004D1C1B">
        <w:rPr>
          <w:lang w:val="en-GB"/>
        </w:rPr>
        <w:t xml:space="preserve"> does not consider</w:t>
      </w:r>
      <w:r w:rsidR="00505257" w:rsidRPr="004D1C1B">
        <w:rPr>
          <w:lang w:val="en-GB"/>
        </w:rPr>
        <w:t xml:space="preserve"> principal adverse impacts </w:t>
      </w:r>
      <w:r w:rsidRPr="004D1C1B">
        <w:rPr>
          <w:lang w:val="en-GB"/>
        </w:rPr>
        <w:t xml:space="preserve">of investment decisions </w:t>
      </w:r>
      <w:r w:rsidR="00505257" w:rsidRPr="004D1C1B">
        <w:rPr>
          <w:lang w:val="en-GB"/>
        </w:rPr>
        <w:t xml:space="preserve">on sustainability factors for the purposes of </w:t>
      </w:r>
      <w:r w:rsidRPr="004D1C1B">
        <w:rPr>
          <w:lang w:val="en-GB"/>
        </w:rPr>
        <w:t xml:space="preserve">the </w:t>
      </w:r>
      <w:r w:rsidR="00505257" w:rsidRPr="004D1C1B">
        <w:rPr>
          <w:lang w:val="en-GB"/>
        </w:rPr>
        <w:t>SFDR. As part of its ESG risk management</w:t>
      </w:r>
      <w:r w:rsidR="004D1C1B" w:rsidRPr="004D1C1B">
        <w:rPr>
          <w:lang w:val="en-GB"/>
        </w:rPr>
        <w:t xml:space="preserve">, </w:t>
      </w:r>
      <w:r w:rsidR="00505257" w:rsidRPr="004D1C1B">
        <w:rPr>
          <w:lang w:val="en-GB"/>
        </w:rPr>
        <w:t xml:space="preserve"> monitoring, </w:t>
      </w:r>
      <w:r w:rsidR="004D1C1B" w:rsidRPr="004D1C1B">
        <w:rPr>
          <w:lang w:val="en-GB"/>
        </w:rPr>
        <w:t xml:space="preserve">and, where relevant, contractual ESG reporting, </w:t>
      </w:r>
      <w:r w:rsidR="00505257" w:rsidRPr="004D1C1B">
        <w:rPr>
          <w:lang w:val="en-GB"/>
        </w:rPr>
        <w:t xml:space="preserve">Fund II may track a limited set of ESG indicators that correspond to certain SFDR principal adverse impact indicators on a voluntary, qualitative and non-standardised basis, </w:t>
      </w:r>
      <w:r w:rsidR="00B2576D" w:rsidRPr="004D1C1B">
        <w:rPr>
          <w:lang w:val="en-GB"/>
        </w:rPr>
        <w:t>in accordance with the SFDR pre-contractual disclosures and the Responsible Investment Policy. These are used internally for ESG risk management and</w:t>
      </w:r>
      <w:r w:rsidR="004D1C1B" w:rsidRPr="004D1C1B">
        <w:rPr>
          <w:lang w:val="en-GB"/>
        </w:rPr>
        <w:t xml:space="preserve">, where relevant, for contractual </w:t>
      </w:r>
      <w:r w:rsidR="00B2576D" w:rsidRPr="004D1C1B">
        <w:rPr>
          <w:lang w:val="en-GB"/>
        </w:rPr>
        <w:t>reporting purposes but do not constitute a formal opt-in under Article 4(1)(a) of the SFDR.</w:t>
      </w:r>
    </w:p>
    <w:p w14:paraId="06A24794" w14:textId="77777777" w:rsidR="00CF64CF" w:rsidRPr="004D1C1B" w:rsidRDefault="00CF64CF" w:rsidP="00D90091">
      <w:pPr>
        <w:pStyle w:val="BodyText"/>
        <w:jc w:val="both"/>
        <w:rPr>
          <w:lang w:val="en-GB"/>
        </w:rPr>
      </w:pPr>
    </w:p>
    <w:p w14:paraId="72FB0688" w14:textId="712E7059" w:rsidR="00505257" w:rsidRPr="004D1C1B" w:rsidRDefault="00B2576D">
      <w:pPr>
        <w:pStyle w:val="BodyText"/>
        <w:jc w:val="both"/>
        <w:rPr>
          <w:lang w:val="en-GB"/>
        </w:rPr>
      </w:pPr>
      <w:r w:rsidRPr="004D1C1B">
        <w:rPr>
          <w:lang w:val="en-GB"/>
        </w:rPr>
        <w:t xml:space="preserve">The Firm has decided not to consider the principal adverse impacts of investment decisions on sustainability factors at the entity level due to the specific nature of its operations. The Firm manages closed-end private equity funds that primarily aim to improve core business processes and financial performance of small and medium-sized enterprises (SMEs) with a view to exiting these investments within a short to medium-term horizon (1 to 5 years). </w:t>
      </w:r>
      <w:r w:rsidR="00505257" w:rsidRPr="004D1C1B">
        <w:rPr>
          <w:lang w:val="en-GB"/>
        </w:rPr>
        <w:t>This decision is also driven by the limited availability and comparability of data required to assess such impacts in private markets and the proportionality of the Firm’s size and operations. The Firm will review this position periodically</w:t>
      </w:r>
      <w:r w:rsidR="004D1C1B" w:rsidRPr="004D1C1B">
        <w:rPr>
          <w:lang w:val="en-GB"/>
        </w:rPr>
        <w:t xml:space="preserve">, including </w:t>
      </w:r>
      <w:proofErr w:type="gramStart"/>
      <w:r w:rsidR="004D1C1B" w:rsidRPr="004D1C1B">
        <w:rPr>
          <w:lang w:val="en-GB"/>
        </w:rPr>
        <w:t>in light of</w:t>
      </w:r>
      <w:proofErr w:type="gramEnd"/>
      <w:r w:rsidR="004D1C1B" w:rsidRPr="004D1C1B">
        <w:rPr>
          <w:lang w:val="en-GB"/>
        </w:rPr>
        <w:t xml:space="preserve"> regulatory developments and the evolution of its ESG processes.</w:t>
      </w:r>
    </w:p>
    <w:p w14:paraId="38D17310" w14:textId="77777777" w:rsidR="00505257" w:rsidRPr="004D1C1B" w:rsidRDefault="00505257">
      <w:pPr>
        <w:pStyle w:val="BodyText"/>
        <w:jc w:val="both"/>
        <w:rPr>
          <w:lang w:val="en-GB"/>
        </w:rPr>
      </w:pPr>
    </w:p>
    <w:p w14:paraId="1AA0B8D5" w14:textId="385BE79E" w:rsidR="00CF64CF" w:rsidRPr="004D1C1B" w:rsidRDefault="00B2576D" w:rsidP="00D90091">
      <w:pPr>
        <w:pStyle w:val="BodyText"/>
        <w:jc w:val="both"/>
        <w:rPr>
          <w:lang w:val="en-GB"/>
        </w:rPr>
      </w:pPr>
      <w:r w:rsidRPr="004D1C1B">
        <w:rPr>
          <w:lang w:val="en-GB"/>
        </w:rPr>
        <w:t>Given the closed-end structure of Fund I, with no new investors permitted post-closing, there is no requirement for pre-contractual disclosure under SFDR. Nonetheless, the Firm integrates sustainability risks at the fund level, as described in the section “Transparency of the integration of sustainability risks.”</w:t>
      </w:r>
    </w:p>
    <w:p w14:paraId="2638A583" w14:textId="77777777" w:rsidR="00CB511F" w:rsidRPr="004D1C1B" w:rsidRDefault="00CB511F" w:rsidP="00D90091">
      <w:pPr>
        <w:pStyle w:val="BodyText"/>
        <w:jc w:val="both"/>
        <w:rPr>
          <w:lang w:val="en-GB"/>
        </w:rPr>
      </w:pPr>
    </w:p>
    <w:p w14:paraId="739D0D2F" w14:textId="77777777" w:rsidR="00CF64CF" w:rsidRPr="004D1C1B" w:rsidRDefault="00367AA2" w:rsidP="00D90091">
      <w:pPr>
        <w:pStyle w:val="Heading1"/>
        <w:ind w:left="0"/>
        <w:jc w:val="both"/>
        <w:rPr>
          <w:color w:val="1E3763"/>
          <w:spacing w:val="-2"/>
          <w:u w:color="1E3763"/>
          <w:lang w:val="en-GB"/>
        </w:rPr>
      </w:pPr>
      <w:r w:rsidRPr="004D1C1B">
        <w:rPr>
          <w:color w:val="1E3763"/>
          <w:u w:color="1E3763"/>
          <w:lang w:val="en-GB"/>
        </w:rPr>
        <w:t>Transparency</w:t>
      </w:r>
      <w:r w:rsidRPr="004D1C1B">
        <w:rPr>
          <w:color w:val="1E3763"/>
          <w:spacing w:val="-4"/>
          <w:u w:color="1E3763"/>
          <w:lang w:val="en-GB"/>
        </w:rPr>
        <w:t xml:space="preserve"> </w:t>
      </w:r>
      <w:r w:rsidRPr="004D1C1B">
        <w:rPr>
          <w:color w:val="1E3763"/>
          <w:u w:color="1E3763"/>
          <w:lang w:val="en-GB"/>
        </w:rPr>
        <w:t>of</w:t>
      </w:r>
      <w:r w:rsidRPr="004D1C1B">
        <w:rPr>
          <w:color w:val="1E3763"/>
          <w:spacing w:val="-4"/>
          <w:u w:color="1E3763"/>
          <w:lang w:val="en-GB"/>
        </w:rPr>
        <w:t xml:space="preserve"> </w:t>
      </w:r>
      <w:r w:rsidRPr="004D1C1B">
        <w:rPr>
          <w:color w:val="1E3763"/>
          <w:u w:color="1E3763"/>
          <w:lang w:val="en-GB"/>
        </w:rPr>
        <w:t>the</w:t>
      </w:r>
      <w:r w:rsidRPr="004D1C1B">
        <w:rPr>
          <w:color w:val="1E3763"/>
          <w:spacing w:val="-4"/>
          <w:u w:color="1E3763"/>
          <w:lang w:val="en-GB"/>
        </w:rPr>
        <w:t xml:space="preserve"> </w:t>
      </w:r>
      <w:r w:rsidRPr="004D1C1B">
        <w:rPr>
          <w:color w:val="1E3763"/>
          <w:u w:color="1E3763"/>
          <w:lang w:val="en-GB"/>
        </w:rPr>
        <w:t>integration</w:t>
      </w:r>
      <w:r w:rsidRPr="004D1C1B">
        <w:rPr>
          <w:color w:val="1E3763"/>
          <w:spacing w:val="-3"/>
          <w:u w:color="1E3763"/>
          <w:lang w:val="en-GB"/>
        </w:rPr>
        <w:t xml:space="preserve"> </w:t>
      </w:r>
      <w:r w:rsidRPr="004D1C1B">
        <w:rPr>
          <w:color w:val="1E3763"/>
          <w:u w:color="1E3763"/>
          <w:lang w:val="en-GB"/>
        </w:rPr>
        <w:t>of</w:t>
      </w:r>
      <w:r w:rsidRPr="004D1C1B">
        <w:rPr>
          <w:color w:val="1E3763"/>
          <w:spacing w:val="-4"/>
          <w:u w:color="1E3763"/>
          <w:lang w:val="en-GB"/>
        </w:rPr>
        <w:t xml:space="preserve"> </w:t>
      </w:r>
      <w:r w:rsidRPr="004D1C1B">
        <w:rPr>
          <w:color w:val="1E3763"/>
          <w:u w:color="1E3763"/>
          <w:lang w:val="en-GB"/>
        </w:rPr>
        <w:t>sustainability</w:t>
      </w:r>
      <w:r w:rsidRPr="004D1C1B">
        <w:rPr>
          <w:color w:val="1E3763"/>
          <w:spacing w:val="-4"/>
          <w:u w:color="1E3763"/>
          <w:lang w:val="en-GB"/>
        </w:rPr>
        <w:t xml:space="preserve"> </w:t>
      </w:r>
      <w:r w:rsidRPr="004D1C1B">
        <w:rPr>
          <w:color w:val="1E3763"/>
          <w:spacing w:val="-2"/>
          <w:u w:color="1E3763"/>
          <w:lang w:val="en-GB"/>
        </w:rPr>
        <w:t>risks</w:t>
      </w:r>
    </w:p>
    <w:p w14:paraId="51DDC273" w14:textId="77777777" w:rsidR="006900C1" w:rsidRPr="004D1C1B" w:rsidRDefault="006900C1" w:rsidP="00D90091">
      <w:pPr>
        <w:pStyle w:val="Heading1"/>
        <w:ind w:left="0"/>
        <w:jc w:val="both"/>
        <w:rPr>
          <w:u w:val="none"/>
          <w:lang w:val="en-GB"/>
        </w:rPr>
      </w:pPr>
    </w:p>
    <w:p w14:paraId="55D8DAC2" w14:textId="78D5E29A" w:rsidR="00CF64CF" w:rsidRPr="004D1C1B" w:rsidRDefault="00367AA2" w:rsidP="00D90091">
      <w:pPr>
        <w:pStyle w:val="BodyText"/>
        <w:jc w:val="both"/>
        <w:rPr>
          <w:lang w:val="en-GB"/>
        </w:rPr>
      </w:pPr>
      <w:r w:rsidRPr="004D1C1B">
        <w:rPr>
          <w:lang w:val="en-GB"/>
        </w:rPr>
        <w:t xml:space="preserve">Pursuant to Article </w:t>
      </w:r>
      <w:r w:rsidR="004D1C1B" w:rsidRPr="004D1C1B">
        <w:rPr>
          <w:lang w:val="en-GB"/>
        </w:rPr>
        <w:t>3(</w:t>
      </w:r>
      <w:r w:rsidRPr="004D1C1B">
        <w:rPr>
          <w:lang w:val="en-GB"/>
        </w:rPr>
        <w:t>1</w:t>
      </w:r>
      <w:r w:rsidR="004D1C1B" w:rsidRPr="004D1C1B">
        <w:rPr>
          <w:lang w:val="en-GB"/>
        </w:rPr>
        <w:t>)</w:t>
      </w:r>
      <w:r w:rsidRPr="004D1C1B">
        <w:rPr>
          <w:lang w:val="en-GB"/>
        </w:rPr>
        <w:t xml:space="preserve"> of</w:t>
      </w:r>
      <w:r w:rsidR="00A15096" w:rsidRPr="004D1C1B">
        <w:rPr>
          <w:lang w:val="en-GB"/>
        </w:rPr>
        <w:t xml:space="preserve"> the SFDR</w:t>
      </w:r>
      <w:r w:rsidRPr="004D1C1B">
        <w:rPr>
          <w:lang w:val="en-GB"/>
        </w:rPr>
        <w:t xml:space="preserve">, </w:t>
      </w:r>
      <w:r w:rsidR="00A15096" w:rsidRPr="004D1C1B">
        <w:rPr>
          <w:lang w:val="en-GB"/>
        </w:rPr>
        <w:t xml:space="preserve">under </w:t>
      </w:r>
      <w:r w:rsidRPr="004D1C1B">
        <w:rPr>
          <w:lang w:val="en-GB"/>
        </w:rPr>
        <w:t>which</w:t>
      </w:r>
      <w:r w:rsidRPr="004D1C1B">
        <w:rPr>
          <w:spacing w:val="35"/>
          <w:lang w:val="en-GB"/>
        </w:rPr>
        <w:t xml:space="preserve"> </w:t>
      </w:r>
      <w:r w:rsidRPr="004D1C1B">
        <w:rPr>
          <w:lang w:val="en-GB"/>
        </w:rPr>
        <w:t>the</w:t>
      </w:r>
      <w:r w:rsidRPr="004D1C1B">
        <w:rPr>
          <w:spacing w:val="36"/>
          <w:lang w:val="en-GB"/>
        </w:rPr>
        <w:t xml:space="preserve"> </w:t>
      </w:r>
      <w:r w:rsidR="00B2576D" w:rsidRPr="004D1C1B">
        <w:rPr>
          <w:lang w:val="en-GB"/>
        </w:rPr>
        <w:t>Firm</w:t>
      </w:r>
      <w:r w:rsidRPr="004D1C1B">
        <w:rPr>
          <w:spacing w:val="34"/>
          <w:lang w:val="en-GB"/>
        </w:rPr>
        <w:t xml:space="preserve"> </w:t>
      </w:r>
      <w:r w:rsidRPr="004D1C1B">
        <w:rPr>
          <w:lang w:val="en-GB"/>
        </w:rPr>
        <w:t>is obliged</w:t>
      </w:r>
      <w:r w:rsidRPr="004D1C1B">
        <w:rPr>
          <w:spacing w:val="22"/>
          <w:lang w:val="en-GB"/>
        </w:rPr>
        <w:t xml:space="preserve"> </w:t>
      </w:r>
      <w:r w:rsidRPr="004D1C1B">
        <w:rPr>
          <w:lang w:val="en-GB"/>
        </w:rPr>
        <w:t>to</w:t>
      </w:r>
      <w:r w:rsidRPr="004D1C1B">
        <w:rPr>
          <w:spacing w:val="18"/>
          <w:lang w:val="en-GB"/>
        </w:rPr>
        <w:t xml:space="preserve"> </w:t>
      </w:r>
      <w:r w:rsidRPr="004D1C1B">
        <w:rPr>
          <w:lang w:val="en-GB"/>
        </w:rPr>
        <w:t>publish</w:t>
      </w:r>
      <w:r w:rsidRPr="004D1C1B">
        <w:rPr>
          <w:spacing w:val="21"/>
          <w:lang w:val="en-GB"/>
        </w:rPr>
        <w:t xml:space="preserve"> </w:t>
      </w:r>
      <w:r w:rsidRPr="004D1C1B">
        <w:rPr>
          <w:lang w:val="en-GB"/>
        </w:rPr>
        <w:t>information</w:t>
      </w:r>
      <w:r w:rsidRPr="004D1C1B">
        <w:rPr>
          <w:spacing w:val="20"/>
          <w:lang w:val="en-GB"/>
        </w:rPr>
        <w:t xml:space="preserve"> </w:t>
      </w:r>
      <w:r w:rsidRPr="004D1C1B">
        <w:rPr>
          <w:lang w:val="en-GB"/>
        </w:rPr>
        <w:t>on</w:t>
      </w:r>
      <w:r w:rsidRPr="004D1C1B">
        <w:rPr>
          <w:spacing w:val="21"/>
          <w:lang w:val="en-GB"/>
        </w:rPr>
        <w:t xml:space="preserve"> </w:t>
      </w:r>
      <w:r w:rsidRPr="004D1C1B">
        <w:rPr>
          <w:lang w:val="en-GB"/>
        </w:rPr>
        <w:t>how</w:t>
      </w:r>
      <w:r w:rsidRPr="004D1C1B">
        <w:rPr>
          <w:spacing w:val="21"/>
          <w:lang w:val="en-GB"/>
        </w:rPr>
        <w:t xml:space="preserve"> </w:t>
      </w:r>
      <w:r w:rsidRPr="004D1C1B">
        <w:rPr>
          <w:lang w:val="en-GB"/>
        </w:rPr>
        <w:t>sustainability</w:t>
      </w:r>
      <w:r w:rsidRPr="004D1C1B">
        <w:rPr>
          <w:spacing w:val="22"/>
          <w:lang w:val="en-GB"/>
        </w:rPr>
        <w:t xml:space="preserve"> </w:t>
      </w:r>
      <w:r w:rsidRPr="004D1C1B">
        <w:rPr>
          <w:lang w:val="en-GB"/>
        </w:rPr>
        <w:t>risk</w:t>
      </w:r>
      <w:r w:rsidRPr="004D1C1B">
        <w:rPr>
          <w:spacing w:val="19"/>
          <w:lang w:val="en-GB"/>
        </w:rPr>
        <w:t xml:space="preserve"> </w:t>
      </w:r>
      <w:r w:rsidRPr="004D1C1B">
        <w:rPr>
          <w:lang w:val="en-GB"/>
        </w:rPr>
        <w:t>is</w:t>
      </w:r>
      <w:r w:rsidRPr="004D1C1B">
        <w:rPr>
          <w:spacing w:val="20"/>
          <w:lang w:val="en-GB"/>
        </w:rPr>
        <w:t xml:space="preserve"> </w:t>
      </w:r>
      <w:r w:rsidRPr="004D1C1B">
        <w:rPr>
          <w:lang w:val="en-GB"/>
        </w:rPr>
        <w:t>included</w:t>
      </w:r>
      <w:r w:rsidRPr="004D1C1B">
        <w:rPr>
          <w:spacing w:val="20"/>
          <w:lang w:val="en-GB"/>
        </w:rPr>
        <w:t xml:space="preserve"> </w:t>
      </w:r>
      <w:r w:rsidRPr="004D1C1B">
        <w:rPr>
          <w:lang w:val="en-GB"/>
        </w:rPr>
        <w:t>in</w:t>
      </w:r>
      <w:r w:rsidRPr="004D1C1B">
        <w:rPr>
          <w:spacing w:val="21"/>
          <w:lang w:val="en-GB"/>
        </w:rPr>
        <w:t xml:space="preserve"> </w:t>
      </w:r>
      <w:r w:rsidRPr="004D1C1B">
        <w:rPr>
          <w:lang w:val="en-GB"/>
        </w:rPr>
        <w:t>the</w:t>
      </w:r>
      <w:r w:rsidRPr="004D1C1B">
        <w:rPr>
          <w:spacing w:val="21"/>
          <w:lang w:val="en-GB"/>
        </w:rPr>
        <w:t xml:space="preserve"> </w:t>
      </w:r>
      <w:r w:rsidRPr="004D1C1B">
        <w:rPr>
          <w:lang w:val="en-GB"/>
        </w:rPr>
        <w:t>investment</w:t>
      </w:r>
      <w:r w:rsidRPr="004D1C1B">
        <w:rPr>
          <w:spacing w:val="21"/>
          <w:lang w:val="en-GB"/>
        </w:rPr>
        <w:t xml:space="preserve"> </w:t>
      </w:r>
      <w:r w:rsidRPr="004D1C1B">
        <w:rPr>
          <w:lang w:val="en-GB"/>
        </w:rPr>
        <w:t>decision-</w:t>
      </w:r>
      <w:r w:rsidRPr="004D1C1B">
        <w:rPr>
          <w:spacing w:val="-2"/>
          <w:lang w:val="en-GB"/>
        </w:rPr>
        <w:t>making</w:t>
      </w:r>
      <w:r w:rsidR="00B2576D" w:rsidRPr="004D1C1B">
        <w:rPr>
          <w:lang w:val="en-GB"/>
        </w:rPr>
        <w:t xml:space="preserve"> </w:t>
      </w:r>
      <w:r w:rsidRPr="004D1C1B">
        <w:rPr>
          <w:lang w:val="en-GB"/>
        </w:rPr>
        <w:t xml:space="preserve">process, the </w:t>
      </w:r>
      <w:r w:rsidR="00B2576D" w:rsidRPr="004D1C1B">
        <w:rPr>
          <w:lang w:val="en-GB"/>
        </w:rPr>
        <w:t>Firm</w:t>
      </w:r>
      <w:r w:rsidRPr="004D1C1B">
        <w:rPr>
          <w:lang w:val="en-GB"/>
        </w:rPr>
        <w:t xml:space="preserve"> defines </w:t>
      </w:r>
      <w:r w:rsidR="00A15096" w:rsidRPr="004D1C1B">
        <w:rPr>
          <w:lang w:val="en-GB"/>
        </w:rPr>
        <w:t xml:space="preserve">the </w:t>
      </w:r>
      <w:r w:rsidRPr="004D1C1B">
        <w:rPr>
          <w:lang w:val="en-GB"/>
        </w:rPr>
        <w:t>key areas and business processes within which sustainability risk is</w:t>
      </w:r>
      <w:r w:rsidR="00A15096" w:rsidRPr="004D1C1B">
        <w:rPr>
          <w:lang w:val="en-GB"/>
        </w:rPr>
        <w:t xml:space="preserve"> identified and integrated into</w:t>
      </w:r>
      <w:r w:rsidRPr="004D1C1B">
        <w:rPr>
          <w:lang w:val="en-GB"/>
        </w:rPr>
        <w:t xml:space="preserve"> the decision-making and risk management</w:t>
      </w:r>
      <w:r w:rsidR="00A15096" w:rsidRPr="004D1C1B">
        <w:rPr>
          <w:lang w:val="en-GB"/>
        </w:rPr>
        <w:t xml:space="preserve">. </w:t>
      </w:r>
    </w:p>
    <w:p w14:paraId="49A3CB57" w14:textId="77777777" w:rsidR="00A15096" w:rsidRPr="004D1C1B" w:rsidRDefault="00A15096" w:rsidP="00D90091">
      <w:pPr>
        <w:pStyle w:val="BodyText"/>
        <w:tabs>
          <w:tab w:val="left" w:pos="426"/>
        </w:tabs>
        <w:jc w:val="both"/>
        <w:rPr>
          <w:lang w:val="en-GB"/>
        </w:rPr>
      </w:pPr>
    </w:p>
    <w:p w14:paraId="639CA4AB" w14:textId="0AF3EC2F" w:rsidR="00505257" w:rsidRPr="004D1C1B" w:rsidRDefault="00367AA2">
      <w:pPr>
        <w:pStyle w:val="BodyText"/>
        <w:jc w:val="both"/>
        <w:rPr>
          <w:lang w:val="en-GB"/>
        </w:rPr>
      </w:pPr>
      <w:r w:rsidRPr="004D1C1B">
        <w:rPr>
          <w:lang w:val="en-GB"/>
        </w:rPr>
        <w:t>The</w:t>
      </w:r>
      <w:r w:rsidRPr="004D1C1B">
        <w:rPr>
          <w:spacing w:val="-1"/>
          <w:lang w:val="en-GB"/>
        </w:rPr>
        <w:t xml:space="preserve"> </w:t>
      </w:r>
      <w:r w:rsidR="00B2576D" w:rsidRPr="004D1C1B">
        <w:rPr>
          <w:lang w:val="en-GB"/>
        </w:rPr>
        <w:t>Firm</w:t>
      </w:r>
      <w:r w:rsidRPr="004D1C1B">
        <w:rPr>
          <w:spacing w:val="-1"/>
          <w:lang w:val="en-GB"/>
        </w:rPr>
        <w:t xml:space="preserve"> </w:t>
      </w:r>
      <w:r w:rsidRPr="004D1C1B">
        <w:rPr>
          <w:lang w:val="en-GB"/>
        </w:rPr>
        <w:t>has</w:t>
      </w:r>
      <w:r w:rsidRPr="004D1C1B">
        <w:rPr>
          <w:spacing w:val="-2"/>
          <w:lang w:val="en-GB"/>
        </w:rPr>
        <w:t xml:space="preserve"> </w:t>
      </w:r>
      <w:r w:rsidRPr="004D1C1B">
        <w:rPr>
          <w:lang w:val="en-GB"/>
        </w:rPr>
        <w:t>established</w:t>
      </w:r>
      <w:r w:rsidRPr="004D1C1B">
        <w:rPr>
          <w:spacing w:val="-3"/>
          <w:lang w:val="en-GB"/>
        </w:rPr>
        <w:t xml:space="preserve"> </w:t>
      </w:r>
      <w:r w:rsidRPr="004D1C1B">
        <w:rPr>
          <w:lang w:val="en-GB"/>
        </w:rPr>
        <w:t>an</w:t>
      </w:r>
      <w:r w:rsidRPr="004D1C1B">
        <w:rPr>
          <w:spacing w:val="-2"/>
          <w:lang w:val="en-GB"/>
        </w:rPr>
        <w:t xml:space="preserve"> </w:t>
      </w:r>
      <w:r w:rsidRPr="004D1C1B">
        <w:rPr>
          <w:lang w:val="en-GB"/>
        </w:rPr>
        <w:t>adequate risk</w:t>
      </w:r>
      <w:r w:rsidRPr="004D1C1B">
        <w:rPr>
          <w:spacing w:val="-2"/>
          <w:lang w:val="en-GB"/>
        </w:rPr>
        <w:t xml:space="preserve"> </w:t>
      </w:r>
      <w:r w:rsidRPr="004D1C1B">
        <w:rPr>
          <w:lang w:val="en-GB"/>
        </w:rPr>
        <w:t>management</w:t>
      </w:r>
      <w:r w:rsidRPr="004D1C1B">
        <w:rPr>
          <w:spacing w:val="-3"/>
          <w:lang w:val="en-GB"/>
        </w:rPr>
        <w:t xml:space="preserve"> </w:t>
      </w:r>
      <w:r w:rsidRPr="004D1C1B">
        <w:rPr>
          <w:lang w:val="en-GB"/>
        </w:rPr>
        <w:t>system</w:t>
      </w:r>
      <w:r w:rsidRPr="004D1C1B">
        <w:rPr>
          <w:spacing w:val="-1"/>
          <w:lang w:val="en-GB"/>
        </w:rPr>
        <w:t xml:space="preserve"> </w:t>
      </w:r>
      <w:r w:rsidRPr="004D1C1B">
        <w:rPr>
          <w:lang w:val="en-GB"/>
        </w:rPr>
        <w:t>which,</w:t>
      </w:r>
      <w:r w:rsidRPr="004D1C1B">
        <w:rPr>
          <w:spacing w:val="-3"/>
          <w:lang w:val="en-GB"/>
        </w:rPr>
        <w:t xml:space="preserve"> </w:t>
      </w:r>
      <w:r w:rsidRPr="004D1C1B">
        <w:rPr>
          <w:lang w:val="en-GB"/>
        </w:rPr>
        <w:t>through</w:t>
      </w:r>
      <w:r w:rsidRPr="004D1C1B">
        <w:rPr>
          <w:spacing w:val="-1"/>
          <w:lang w:val="en-GB"/>
        </w:rPr>
        <w:t xml:space="preserve"> </w:t>
      </w:r>
      <w:r w:rsidRPr="004D1C1B">
        <w:rPr>
          <w:lang w:val="en-GB"/>
        </w:rPr>
        <w:t>the</w:t>
      </w:r>
      <w:r w:rsidRPr="004D1C1B">
        <w:rPr>
          <w:spacing w:val="-1"/>
          <w:lang w:val="en-GB"/>
        </w:rPr>
        <w:t xml:space="preserve"> </w:t>
      </w:r>
      <w:r w:rsidRPr="004D1C1B">
        <w:rPr>
          <w:lang w:val="en-GB"/>
        </w:rPr>
        <w:t xml:space="preserve">Risk Management Policy, integrates sustainability risk in the </w:t>
      </w:r>
      <w:r w:rsidR="00B2576D" w:rsidRPr="004D1C1B">
        <w:rPr>
          <w:lang w:val="en-GB"/>
        </w:rPr>
        <w:t>Firm</w:t>
      </w:r>
      <w:r w:rsidRPr="004D1C1B">
        <w:rPr>
          <w:lang w:val="en-GB"/>
        </w:rPr>
        <w:t xml:space="preserve">'s operations and the investment decision-making process. </w:t>
      </w:r>
      <w:r w:rsidR="00505257" w:rsidRPr="004D1C1B">
        <w:rPr>
          <w:lang w:val="en-GB"/>
        </w:rPr>
        <w:t>Sustainability risks are understood as environmental, social or governance events or conditions that, if they occur, could cause an actual or potential material negative impact on the value of an investment.</w:t>
      </w:r>
    </w:p>
    <w:p w14:paraId="6AC75204" w14:textId="77777777" w:rsidR="00A15096" w:rsidRPr="004D1C1B" w:rsidRDefault="00A15096">
      <w:pPr>
        <w:pStyle w:val="BodyText"/>
        <w:jc w:val="both"/>
        <w:rPr>
          <w:lang w:val="en-GB"/>
        </w:rPr>
      </w:pPr>
    </w:p>
    <w:p w14:paraId="01BBCA2E" w14:textId="69AFED4F" w:rsidR="00A15096" w:rsidRPr="004D1C1B" w:rsidRDefault="00A15096">
      <w:pPr>
        <w:pStyle w:val="BodyText"/>
        <w:jc w:val="both"/>
        <w:rPr>
          <w:lang w:val="en-GB"/>
        </w:rPr>
      </w:pPr>
      <w:r w:rsidRPr="004D1C1B">
        <w:rPr>
          <w:lang w:val="en-GB"/>
        </w:rPr>
        <w:t>ESG oversight is retained by the Managing Partners, while day-to-day ESG implementation is led by the Firm’s ESG Lead, who coordinates ESG integration across the investment process and portfolio monitoring, with support from external experts where appropriate.</w:t>
      </w:r>
    </w:p>
    <w:p w14:paraId="2D5209FA" w14:textId="77777777" w:rsidR="00A15096" w:rsidRPr="004D1C1B" w:rsidRDefault="00A15096">
      <w:pPr>
        <w:pStyle w:val="BodyText"/>
        <w:jc w:val="both"/>
        <w:rPr>
          <w:lang w:val="en-GB"/>
        </w:rPr>
      </w:pPr>
    </w:p>
    <w:p w14:paraId="658583CC" w14:textId="4A1F9845" w:rsidR="00A15096" w:rsidRPr="004D1C1B" w:rsidRDefault="00A15096" w:rsidP="00A15096">
      <w:pPr>
        <w:pStyle w:val="BodyText"/>
        <w:jc w:val="both"/>
        <w:rPr>
          <w:lang w:val="en-GB"/>
        </w:rPr>
      </w:pPr>
      <w:r w:rsidRPr="004D1C1B">
        <w:rPr>
          <w:lang w:val="en-GB"/>
        </w:rPr>
        <w:t xml:space="preserve">The Firm manages two closed-end private equity funds. While Fund I (classified as Article 6 of the SFDR) integrates basic sustainability risks in its process, Fund II implements a more comprehensive ESG integration strategy in line with its classification under Article 8 of the SFDR. </w:t>
      </w:r>
    </w:p>
    <w:p w14:paraId="1D03904E" w14:textId="77777777" w:rsidR="00505257" w:rsidRPr="004D1C1B" w:rsidRDefault="00505257">
      <w:pPr>
        <w:pStyle w:val="BodyText"/>
        <w:jc w:val="both"/>
        <w:rPr>
          <w:lang w:val="en-GB"/>
        </w:rPr>
      </w:pPr>
    </w:p>
    <w:p w14:paraId="223C85BB" w14:textId="40633471" w:rsidR="00CF64CF" w:rsidRPr="004D1C1B" w:rsidRDefault="00367AA2" w:rsidP="00D90091">
      <w:pPr>
        <w:pStyle w:val="BodyText"/>
        <w:jc w:val="both"/>
        <w:rPr>
          <w:lang w:val="en-GB"/>
        </w:rPr>
      </w:pPr>
      <w:r w:rsidRPr="004D1C1B">
        <w:rPr>
          <w:lang w:val="en-GB"/>
        </w:rPr>
        <w:t>During each potential investment of Fund</w:t>
      </w:r>
      <w:r w:rsidR="00A15096" w:rsidRPr="004D1C1B">
        <w:rPr>
          <w:lang w:val="en-GB"/>
        </w:rPr>
        <w:t xml:space="preserve"> I</w:t>
      </w:r>
      <w:r w:rsidRPr="004D1C1B">
        <w:rPr>
          <w:lang w:val="en-GB"/>
        </w:rPr>
        <w:t xml:space="preserve">, the </w:t>
      </w:r>
      <w:r w:rsidR="00B2576D" w:rsidRPr="004D1C1B">
        <w:rPr>
          <w:lang w:val="en-GB"/>
        </w:rPr>
        <w:t>Firm</w:t>
      </w:r>
      <w:r w:rsidRPr="004D1C1B">
        <w:rPr>
          <w:lang w:val="en-GB"/>
        </w:rPr>
        <w:t xml:space="preserve"> evaluates the environmental and social risk using publicly available E</w:t>
      </w:r>
      <w:r w:rsidR="00A15096" w:rsidRPr="004D1C1B">
        <w:rPr>
          <w:lang w:val="en-GB"/>
        </w:rPr>
        <w:t xml:space="preserve">uropean </w:t>
      </w:r>
      <w:r w:rsidRPr="004D1C1B">
        <w:rPr>
          <w:lang w:val="en-GB"/>
        </w:rPr>
        <w:t>B</w:t>
      </w:r>
      <w:r w:rsidR="00A15096" w:rsidRPr="004D1C1B">
        <w:rPr>
          <w:lang w:val="en-GB"/>
        </w:rPr>
        <w:t xml:space="preserve">ank for </w:t>
      </w:r>
      <w:r w:rsidRPr="004D1C1B">
        <w:rPr>
          <w:lang w:val="en-GB"/>
        </w:rPr>
        <w:t>R</w:t>
      </w:r>
      <w:r w:rsidR="00A15096" w:rsidRPr="004D1C1B">
        <w:rPr>
          <w:lang w:val="en-GB"/>
        </w:rPr>
        <w:t xml:space="preserve">econstruction and </w:t>
      </w:r>
      <w:r w:rsidRPr="004D1C1B">
        <w:rPr>
          <w:lang w:val="en-GB"/>
        </w:rPr>
        <w:t>D</w:t>
      </w:r>
      <w:r w:rsidR="00A15096" w:rsidRPr="004D1C1B">
        <w:rPr>
          <w:lang w:val="en-GB"/>
        </w:rPr>
        <w:t>evelopment (the “EBRD”)</w:t>
      </w:r>
      <w:r w:rsidRPr="004D1C1B">
        <w:rPr>
          <w:lang w:val="en-GB"/>
        </w:rPr>
        <w:t xml:space="preserve"> Environmental and Social Risk Categori</w:t>
      </w:r>
      <w:r w:rsidR="00A15096" w:rsidRPr="004D1C1B">
        <w:rPr>
          <w:lang w:val="en-GB"/>
        </w:rPr>
        <w:t>s</w:t>
      </w:r>
      <w:r w:rsidRPr="004D1C1B">
        <w:rPr>
          <w:lang w:val="en-GB"/>
        </w:rPr>
        <w:t xml:space="preserve">ation List </w:t>
      </w:r>
      <w:r w:rsidR="009D4941" w:rsidRPr="004D1C1B">
        <w:rPr>
          <w:lang w:val="en-GB"/>
        </w:rPr>
        <w:t>and applies fund-level exclusions and screening to avoid prohibited or unacceptable activities.</w:t>
      </w:r>
      <w:r w:rsidR="00A15096" w:rsidRPr="004D1C1B">
        <w:rPr>
          <w:lang w:val="en-GB"/>
        </w:rPr>
        <w:t xml:space="preserve"> </w:t>
      </w:r>
      <w:r w:rsidRPr="004D1C1B">
        <w:rPr>
          <w:lang w:val="en-GB"/>
        </w:rPr>
        <w:t xml:space="preserve">Additionally, the </w:t>
      </w:r>
      <w:r w:rsidR="00B2576D" w:rsidRPr="004D1C1B">
        <w:rPr>
          <w:lang w:val="en-GB"/>
        </w:rPr>
        <w:t>Firm</w:t>
      </w:r>
      <w:r w:rsidRPr="004D1C1B">
        <w:rPr>
          <w:lang w:val="en-GB"/>
        </w:rPr>
        <w:t xml:space="preserve"> does not invest in industries and companies engaged in activities that are defined as unacceptable (e.g., coal, oil, hazardous substances, gambling, weapons, etc.),</w:t>
      </w:r>
      <w:r w:rsidR="00A15096" w:rsidRPr="004D1C1B">
        <w:rPr>
          <w:lang w:val="en-GB"/>
        </w:rPr>
        <w:t xml:space="preserve"> as set out</w:t>
      </w:r>
      <w:r w:rsidRPr="004D1C1B">
        <w:rPr>
          <w:lang w:val="en-GB"/>
        </w:rPr>
        <w:t xml:space="preserve"> in the </w:t>
      </w:r>
      <w:r w:rsidRPr="004D1C1B">
        <w:rPr>
          <w:lang w:val="en-GB"/>
        </w:rPr>
        <w:lastRenderedPageBreak/>
        <w:t>EBRD’s Environmental and Social Exclusion List.</w:t>
      </w:r>
    </w:p>
    <w:p w14:paraId="492E07DA" w14:textId="5C063719" w:rsidR="00505257" w:rsidRPr="004D1C1B" w:rsidRDefault="00505257">
      <w:pPr>
        <w:pStyle w:val="BodyText"/>
        <w:jc w:val="both"/>
        <w:rPr>
          <w:lang w:val="en-GB"/>
        </w:rPr>
      </w:pPr>
    </w:p>
    <w:p w14:paraId="1092E0A5" w14:textId="6BF65231" w:rsidR="00505257" w:rsidRPr="004D1C1B" w:rsidRDefault="00505257">
      <w:pPr>
        <w:pStyle w:val="BodyText"/>
        <w:jc w:val="both"/>
        <w:rPr>
          <w:lang w:val="en-GB"/>
        </w:rPr>
      </w:pPr>
      <w:r w:rsidRPr="004D1C1B">
        <w:rPr>
          <w:lang w:val="en-GB"/>
        </w:rPr>
        <w:t>Fund II promotes environmental and social characteristics by investing in companies that operate responsibly, minimise adverse impacts and improve ESG practices over the investment period. These characteristics include, as applicable, improved resource efficiency, reduction of greenhouse gas emissions, enhanced occupational health and safety, sound labour practices, business integrity and good governance.</w:t>
      </w:r>
    </w:p>
    <w:p w14:paraId="524E9FBE" w14:textId="77777777" w:rsidR="00505257" w:rsidRPr="004D1C1B" w:rsidRDefault="00505257">
      <w:pPr>
        <w:pStyle w:val="BodyText"/>
        <w:jc w:val="both"/>
        <w:rPr>
          <w:lang w:val="en-GB"/>
        </w:rPr>
      </w:pPr>
    </w:p>
    <w:p w14:paraId="77293EAE" w14:textId="43A958D3" w:rsidR="00505257" w:rsidRPr="004D1C1B" w:rsidRDefault="00505257">
      <w:pPr>
        <w:pStyle w:val="BodyText"/>
        <w:jc w:val="both"/>
        <w:rPr>
          <w:lang w:val="en-GB"/>
        </w:rPr>
      </w:pPr>
      <w:r w:rsidRPr="004D1C1B">
        <w:rPr>
          <w:lang w:val="en-GB"/>
        </w:rPr>
        <w:t xml:space="preserve">Fund II does not have sustainable investment as its objective and does not commit to making “sustainable investments” as defined in Article 2(17) SFDR. The investments underlying Fund II do not take into account the EU criteria for environmentally sustainable economic activities within the meaning of the </w:t>
      </w:r>
      <w:r w:rsidR="00A15096" w:rsidRPr="004D1C1B">
        <w:rPr>
          <w:lang w:val="en-GB"/>
        </w:rPr>
        <w:t xml:space="preserve">TR. </w:t>
      </w:r>
      <w:r w:rsidR="004D1C1B" w:rsidRPr="004D1C1B">
        <w:rPr>
          <w:lang w:val="en-GB"/>
        </w:rPr>
        <w:t>Accordingly, references in this disclosure to European Investment Fund (the “EIF”) Climate Action and Environmental Sustainability (“CA&amp;ES”) classified investments, Do Not Significant Harm (DNSH) type screening, EBRD’s Green Investments or similar investor-specific environmental screening frameworks should not be read as a commitment by Fund II to make a minimum proportion of “sustainable investments” for SFDR purposes or Taxonomy-aligned investments for TR purposes.</w:t>
      </w:r>
    </w:p>
    <w:p w14:paraId="170005C8" w14:textId="77777777" w:rsidR="00505257" w:rsidRPr="004D1C1B" w:rsidRDefault="00505257">
      <w:pPr>
        <w:pStyle w:val="BodyText"/>
        <w:jc w:val="both"/>
        <w:rPr>
          <w:lang w:val="en-GB"/>
        </w:rPr>
      </w:pPr>
    </w:p>
    <w:p w14:paraId="565CDFF0" w14:textId="05B2891F" w:rsidR="00505257" w:rsidRPr="004D1C1B" w:rsidRDefault="00505257" w:rsidP="00505257">
      <w:pPr>
        <w:pStyle w:val="BodyText"/>
        <w:jc w:val="both"/>
        <w:rPr>
          <w:lang w:val="en-GB"/>
        </w:rPr>
      </w:pPr>
      <w:r w:rsidRPr="004D1C1B">
        <w:rPr>
          <w:lang w:val="en-GB"/>
        </w:rPr>
        <w:t>Fund II applies additional sustainability safeguards, including:</w:t>
      </w:r>
    </w:p>
    <w:p w14:paraId="720BD1B4" w14:textId="38DFAEB0" w:rsidR="00505257" w:rsidRPr="004D1C1B" w:rsidRDefault="00505257" w:rsidP="00505257">
      <w:pPr>
        <w:pStyle w:val="BodyText"/>
        <w:numPr>
          <w:ilvl w:val="0"/>
          <w:numId w:val="5"/>
        </w:numPr>
        <w:jc w:val="both"/>
        <w:rPr>
          <w:lang w:val="en-GB"/>
        </w:rPr>
      </w:pPr>
      <w:r w:rsidRPr="004D1C1B">
        <w:rPr>
          <w:lang w:val="en-GB"/>
        </w:rPr>
        <w:t>Implementation and maintenance of an Environmental and Social Management System (“ESMS”) commensurate with the Fund’s activities and aligned with applicable EBRD requirements, including defined roles, procedures and external communications on environmental and social matters</w:t>
      </w:r>
      <w:r w:rsidR="004D1C1B" w:rsidRPr="004D1C1B">
        <w:rPr>
          <w:lang w:val="en-GB"/>
        </w:rPr>
        <w:t>, as well as assignment of appropriate internal responsibility for ESG implementation;</w:t>
      </w:r>
    </w:p>
    <w:p w14:paraId="515D7EBD" w14:textId="663B23BA" w:rsidR="004D1C1B" w:rsidRPr="004D1C1B" w:rsidRDefault="00505257" w:rsidP="004D1C1B">
      <w:pPr>
        <w:pStyle w:val="BodyText"/>
        <w:numPr>
          <w:ilvl w:val="0"/>
          <w:numId w:val="5"/>
        </w:numPr>
        <w:jc w:val="both"/>
        <w:rPr>
          <w:lang w:val="en-GB"/>
        </w:rPr>
      </w:pPr>
      <w:r w:rsidRPr="004D1C1B">
        <w:rPr>
          <w:lang w:val="en-GB"/>
        </w:rPr>
        <w:t>Screening against the EBRD</w:t>
      </w:r>
      <w:r w:rsidR="004D1C1B" w:rsidRPr="004D1C1B">
        <w:rPr>
          <w:lang w:val="en-GB"/>
        </w:rPr>
        <w:t>’s</w:t>
      </w:r>
      <w:r w:rsidRPr="004D1C1B">
        <w:rPr>
          <w:lang w:val="en-GB"/>
        </w:rPr>
        <w:t xml:space="preserve"> and </w:t>
      </w:r>
      <w:r w:rsidR="004D1C1B" w:rsidRPr="004D1C1B">
        <w:rPr>
          <w:lang w:val="en-GB"/>
        </w:rPr>
        <w:t xml:space="preserve">the EIF’s </w:t>
      </w:r>
      <w:r w:rsidRPr="004D1C1B">
        <w:rPr>
          <w:lang w:val="en-GB"/>
        </w:rPr>
        <w:t>exclusion lists</w:t>
      </w:r>
      <w:r w:rsidR="004D1C1B" w:rsidRPr="004D1C1B">
        <w:rPr>
          <w:lang w:val="en-GB"/>
        </w:rPr>
        <w:t xml:space="preserve">, and, where relevant, other applicable contractual exclusion lists and restrictions, including screening against the EBRD’s List of Ineligible Entities; </w:t>
      </w:r>
    </w:p>
    <w:p w14:paraId="497D510F" w14:textId="05D67E6D" w:rsidR="004D1C1B" w:rsidRPr="004D1C1B" w:rsidRDefault="004D1C1B" w:rsidP="004D1C1B">
      <w:pPr>
        <w:pStyle w:val="BodyText"/>
        <w:numPr>
          <w:ilvl w:val="0"/>
          <w:numId w:val="5"/>
        </w:numPr>
        <w:jc w:val="both"/>
        <w:rPr>
          <w:lang w:val="en-GB"/>
        </w:rPr>
      </w:pPr>
      <w:r w:rsidRPr="004D1C1B">
        <w:rPr>
          <w:lang w:val="en-GB"/>
        </w:rPr>
        <w:t>Transaction-level ESG screening and due diligence designed to identify, assess, mitigate and monitor material ESG risks;</w:t>
      </w:r>
    </w:p>
    <w:p w14:paraId="304EC8A1" w14:textId="4E90EF71" w:rsidR="004D1C1B" w:rsidRPr="004D1C1B" w:rsidRDefault="004D1C1B" w:rsidP="00505257">
      <w:pPr>
        <w:pStyle w:val="BodyText"/>
        <w:numPr>
          <w:ilvl w:val="0"/>
          <w:numId w:val="5"/>
        </w:numPr>
        <w:jc w:val="both"/>
        <w:rPr>
          <w:lang w:val="en-GB"/>
        </w:rPr>
      </w:pPr>
      <w:r w:rsidRPr="004D1C1B">
        <w:rPr>
          <w:lang w:val="en-GB"/>
        </w:rPr>
        <w:t>Where relevant, verification of compliance with applicable EU and national environmental legislation and additional screening intended to avoid significant harm to environmental and/or social factors, including contractual DNSH / sustainability-proofing assessments;</w:t>
      </w:r>
    </w:p>
    <w:p w14:paraId="0E4FDFE4" w14:textId="1A8BDD47" w:rsidR="00505257" w:rsidRPr="004D1C1B" w:rsidRDefault="00505257" w:rsidP="004D1C1B">
      <w:pPr>
        <w:pStyle w:val="BodyText"/>
        <w:numPr>
          <w:ilvl w:val="0"/>
          <w:numId w:val="5"/>
        </w:numPr>
        <w:jc w:val="both"/>
        <w:rPr>
          <w:lang w:val="en-GB"/>
        </w:rPr>
      </w:pPr>
      <w:r w:rsidRPr="004D1C1B">
        <w:rPr>
          <w:lang w:val="en-GB"/>
        </w:rPr>
        <w:t>Adherence to international minimum safeguards (OECD Guidelines, UNGPs, ILO Core Conventions</w:t>
      </w:r>
      <w:r w:rsidR="004D1C1B">
        <w:rPr>
          <w:lang w:val="en-GB"/>
        </w:rPr>
        <w:t xml:space="preserve">, </w:t>
      </w:r>
      <w:r w:rsidR="004D1C1B" w:rsidRPr="004D1C1B">
        <w:rPr>
          <w:lang w:val="en-GB"/>
        </w:rPr>
        <w:t>the International Bill of Human Rights</w:t>
      </w:r>
      <w:r w:rsidRPr="004D1C1B">
        <w:rPr>
          <w:lang w:val="en-GB"/>
        </w:rPr>
        <w:t>);</w:t>
      </w:r>
    </w:p>
    <w:p w14:paraId="04F49EDB" w14:textId="253D3D96" w:rsidR="00505257" w:rsidRPr="004D1C1B" w:rsidRDefault="00505257" w:rsidP="00505257">
      <w:pPr>
        <w:pStyle w:val="BodyText"/>
        <w:numPr>
          <w:ilvl w:val="0"/>
          <w:numId w:val="5"/>
        </w:numPr>
        <w:jc w:val="both"/>
        <w:rPr>
          <w:lang w:val="en-GB"/>
        </w:rPr>
      </w:pPr>
      <w:r w:rsidRPr="004D1C1B">
        <w:rPr>
          <w:lang w:val="en-GB"/>
        </w:rPr>
        <w:t>ESG risk categorisation at pre-investment stage</w:t>
      </w:r>
      <w:r w:rsidR="004D1C1B">
        <w:rPr>
          <w:lang w:val="en-GB"/>
        </w:rPr>
        <w:t xml:space="preserve">, </w:t>
      </w:r>
      <w:r w:rsidR="004D1C1B" w:rsidRPr="004D1C1B">
        <w:rPr>
          <w:lang w:val="en-GB"/>
        </w:rPr>
        <w:t>with enhanced review for higher-risk investments where relevant</w:t>
      </w:r>
      <w:r w:rsidRPr="004D1C1B">
        <w:rPr>
          <w:lang w:val="en-GB"/>
        </w:rPr>
        <w:t>;</w:t>
      </w:r>
    </w:p>
    <w:p w14:paraId="0A93ACD9" w14:textId="34F6ADDF" w:rsidR="00505257" w:rsidRPr="004D1C1B" w:rsidRDefault="00505257" w:rsidP="00505257">
      <w:pPr>
        <w:pStyle w:val="BodyText"/>
        <w:numPr>
          <w:ilvl w:val="0"/>
          <w:numId w:val="5"/>
        </w:numPr>
        <w:jc w:val="both"/>
        <w:rPr>
          <w:lang w:val="en-GB"/>
        </w:rPr>
      </w:pPr>
      <w:r w:rsidRPr="004D1C1B">
        <w:rPr>
          <w:lang w:val="en-GB"/>
        </w:rPr>
        <w:t>Monitoring of ESG KPIs post-investment in line with the Invest Europe ESG Reporting Template</w:t>
      </w:r>
      <w:r w:rsidR="004D1C1B">
        <w:rPr>
          <w:lang w:val="en-GB"/>
        </w:rPr>
        <w:t xml:space="preserve">, </w:t>
      </w:r>
      <w:r w:rsidR="004D1C1B" w:rsidRPr="004D1C1B">
        <w:rPr>
          <w:lang w:val="en-GB"/>
        </w:rPr>
        <w:t>including, where relevant, monitoring of material ESG incidents and remediation measures</w:t>
      </w:r>
      <w:r w:rsidRPr="004D1C1B">
        <w:rPr>
          <w:lang w:val="en-GB"/>
        </w:rPr>
        <w:t xml:space="preserve">; </w:t>
      </w:r>
    </w:p>
    <w:p w14:paraId="3892C576" w14:textId="73CEAF61" w:rsidR="00505257" w:rsidRPr="004D1C1B" w:rsidRDefault="004D1C1B" w:rsidP="004D1C1B">
      <w:pPr>
        <w:pStyle w:val="BodyText"/>
        <w:numPr>
          <w:ilvl w:val="0"/>
          <w:numId w:val="5"/>
        </w:numPr>
        <w:jc w:val="both"/>
        <w:rPr>
          <w:lang w:val="en-GB"/>
        </w:rPr>
      </w:pPr>
      <w:r w:rsidRPr="004D1C1B">
        <w:rPr>
          <w:lang w:val="en-GB"/>
        </w:rPr>
        <w:t>A contractual commitment to invest an amount at least equal to 5% of the total amount drawn down for investments in Portfolio Companies in investments classified as contributing to EIF’s latest criteria for Climate Action and Environmental Sustainability (CA&amp;ES), as published on EIF’s website and as updated from time to time;</w:t>
      </w:r>
      <w:r>
        <w:rPr>
          <w:lang w:val="en-GB"/>
        </w:rPr>
        <w:t xml:space="preserve"> </w:t>
      </w:r>
      <w:r w:rsidR="00445111" w:rsidRPr="004D1C1B">
        <w:rPr>
          <w:lang w:val="en-GB"/>
        </w:rPr>
        <w:t>and</w:t>
      </w:r>
    </w:p>
    <w:p w14:paraId="04E71BEE" w14:textId="5B2B1DA3" w:rsidR="00ED1395" w:rsidRDefault="00ED1395" w:rsidP="00D90091">
      <w:pPr>
        <w:pStyle w:val="BodyText"/>
        <w:numPr>
          <w:ilvl w:val="0"/>
          <w:numId w:val="5"/>
        </w:numPr>
        <w:jc w:val="both"/>
        <w:rPr>
          <w:lang w:val="en-GB"/>
        </w:rPr>
      </w:pPr>
      <w:r w:rsidRPr="004D1C1B">
        <w:rPr>
          <w:lang w:val="en-GB"/>
        </w:rPr>
        <w:t>On a best-efforts basis, making and/or identifying Green Investments in line with the EBRD Green Finance Methodology / Green Finance Guidelines, and monitoring and reporting associated environmental impacts to EBRD annually, where applicable</w:t>
      </w:r>
      <w:r w:rsidR="004D1C1B">
        <w:rPr>
          <w:lang w:val="en-GB"/>
        </w:rPr>
        <w:t xml:space="preserve">; </w:t>
      </w:r>
    </w:p>
    <w:p w14:paraId="158185A0" w14:textId="363474F4" w:rsidR="004D1C1B" w:rsidRPr="004D1C1B" w:rsidRDefault="004D1C1B" w:rsidP="004D1C1B">
      <w:pPr>
        <w:pStyle w:val="BodyText"/>
        <w:numPr>
          <w:ilvl w:val="0"/>
          <w:numId w:val="5"/>
        </w:numPr>
        <w:jc w:val="both"/>
        <w:rPr>
          <w:lang w:val="en-GB"/>
        </w:rPr>
      </w:pPr>
      <w:r w:rsidRPr="004D1C1B">
        <w:rPr>
          <w:lang w:val="en-GB"/>
        </w:rPr>
        <w:t>Seeking, on a best commercially reasonable efforts basis, to keep Fund II’s investment strategy consistent with a maximum temperature rise of 1.5°C above pre-industrial levels and climate-resilient development aligned with the goals of the Paris Agreement; and</w:t>
      </w:r>
    </w:p>
    <w:p w14:paraId="71E27112" w14:textId="201CEABB" w:rsidR="004D1C1B" w:rsidRPr="004D1C1B" w:rsidRDefault="004D1C1B" w:rsidP="006B32F1">
      <w:pPr>
        <w:pStyle w:val="BodyText"/>
        <w:numPr>
          <w:ilvl w:val="0"/>
          <w:numId w:val="5"/>
        </w:numPr>
        <w:jc w:val="both"/>
        <w:rPr>
          <w:lang w:val="en-GB"/>
        </w:rPr>
      </w:pPr>
      <w:r w:rsidRPr="004D1C1B">
        <w:rPr>
          <w:lang w:val="en-GB"/>
        </w:rPr>
        <w:t>Considering, where relevant, credible decarbonisation and/or corrective measures for investments with heightened environmental or climate relevance and reflecting such measures in transaction documentation and post-investment monitoring.</w:t>
      </w:r>
    </w:p>
    <w:p w14:paraId="381FAD69" w14:textId="77777777" w:rsidR="004D1C1B" w:rsidRPr="004D1C1B" w:rsidRDefault="004D1C1B">
      <w:pPr>
        <w:pStyle w:val="BodyText"/>
        <w:jc w:val="both"/>
        <w:rPr>
          <w:lang w:val="en-GB"/>
        </w:rPr>
      </w:pPr>
    </w:p>
    <w:p w14:paraId="1BF28F24" w14:textId="1065CCB9" w:rsidR="00505257" w:rsidRPr="004D1C1B" w:rsidRDefault="00505257">
      <w:pPr>
        <w:pStyle w:val="BodyText"/>
        <w:jc w:val="both"/>
        <w:rPr>
          <w:lang w:val="en-GB"/>
        </w:rPr>
      </w:pPr>
      <w:r w:rsidRPr="004D1C1B">
        <w:rPr>
          <w:lang w:val="en-GB"/>
        </w:rPr>
        <w:t xml:space="preserve">Fund II monitors ESG performance during the holding period through periodic engagement with portfolio companies, review of ESG KPIs, </w:t>
      </w:r>
      <w:r w:rsidR="004D1C1B" w:rsidRPr="004D1C1B">
        <w:rPr>
          <w:lang w:val="en-GB"/>
        </w:rPr>
        <w:t xml:space="preserve">monitoring of agreed mitigation / remedial actions, </w:t>
      </w:r>
      <w:r w:rsidRPr="004D1C1B">
        <w:rPr>
          <w:lang w:val="en-GB"/>
        </w:rPr>
        <w:t xml:space="preserve">and escalation of material ESG incidents. ESG data relies primarily on portfolio company reporting, supplemented by public and external sources. Due to the private market nature of investments, data may be incomplete, based on estimates, or not </w:t>
      </w:r>
      <w:r w:rsidRPr="004D1C1B">
        <w:rPr>
          <w:lang w:val="en-GB"/>
        </w:rPr>
        <w:lastRenderedPageBreak/>
        <w:t xml:space="preserve">fully comparable. Fund </w:t>
      </w:r>
      <w:r w:rsidR="00A15096" w:rsidRPr="004D1C1B">
        <w:rPr>
          <w:lang w:val="en-GB"/>
        </w:rPr>
        <w:t xml:space="preserve">II </w:t>
      </w:r>
      <w:r w:rsidRPr="004D1C1B">
        <w:rPr>
          <w:lang w:val="en-GB"/>
        </w:rPr>
        <w:t xml:space="preserve">seeks to improve ESG data quality over time through active ownership. </w:t>
      </w:r>
      <w:r w:rsidR="004D1C1B" w:rsidRPr="004D1C1B">
        <w:rPr>
          <w:lang w:val="en-GB"/>
        </w:rPr>
        <w:t xml:space="preserve">The Firm also maintains a process for public disclosure and external communications on environmental and social matters. </w:t>
      </w:r>
      <w:r w:rsidRPr="004D1C1B">
        <w:rPr>
          <w:lang w:val="en-GB"/>
        </w:rPr>
        <w:t>No reference benchmark has been designated for Fund II.</w:t>
      </w:r>
    </w:p>
    <w:p w14:paraId="44549BB7" w14:textId="77777777" w:rsidR="00CB511F" w:rsidRPr="004D1C1B" w:rsidRDefault="00CB511F" w:rsidP="00D90091">
      <w:pPr>
        <w:pStyle w:val="BodyText"/>
        <w:jc w:val="both"/>
        <w:rPr>
          <w:lang w:val="en-GB"/>
        </w:rPr>
      </w:pPr>
    </w:p>
    <w:p w14:paraId="1A491279" w14:textId="6A408586" w:rsidR="00CF64CF" w:rsidRPr="004D1C1B" w:rsidRDefault="00367AA2" w:rsidP="00D90091">
      <w:pPr>
        <w:pStyle w:val="Heading1"/>
        <w:ind w:left="0"/>
        <w:jc w:val="both"/>
        <w:rPr>
          <w:color w:val="1E3763"/>
          <w:spacing w:val="-2"/>
          <w:u w:color="1E3763"/>
          <w:lang w:val="en-GB"/>
        </w:rPr>
      </w:pPr>
      <w:r w:rsidRPr="004D1C1B">
        <w:rPr>
          <w:color w:val="1E3763"/>
          <w:u w:color="1E3763"/>
          <w:lang w:val="en-GB"/>
        </w:rPr>
        <w:t>Transparency</w:t>
      </w:r>
      <w:r w:rsidRPr="004D1C1B">
        <w:rPr>
          <w:color w:val="1E3763"/>
          <w:spacing w:val="-3"/>
          <w:u w:color="1E3763"/>
          <w:lang w:val="en-GB"/>
        </w:rPr>
        <w:t xml:space="preserve"> </w:t>
      </w:r>
      <w:r w:rsidRPr="004D1C1B">
        <w:rPr>
          <w:color w:val="1E3763"/>
          <w:u w:color="1E3763"/>
          <w:lang w:val="en-GB"/>
        </w:rPr>
        <w:t>of</w:t>
      </w:r>
      <w:r w:rsidRPr="004D1C1B">
        <w:rPr>
          <w:color w:val="1E3763"/>
          <w:spacing w:val="-3"/>
          <w:u w:color="1E3763"/>
          <w:lang w:val="en-GB"/>
        </w:rPr>
        <w:t xml:space="preserve"> </w:t>
      </w:r>
      <w:r w:rsidRPr="004D1C1B">
        <w:rPr>
          <w:color w:val="1E3763"/>
          <w:u w:color="1E3763"/>
          <w:lang w:val="en-GB"/>
        </w:rPr>
        <w:t>remuneration</w:t>
      </w:r>
      <w:r w:rsidRPr="004D1C1B">
        <w:rPr>
          <w:color w:val="1E3763"/>
          <w:spacing w:val="-2"/>
          <w:u w:color="1E3763"/>
          <w:lang w:val="en-GB"/>
        </w:rPr>
        <w:t xml:space="preserve"> </w:t>
      </w:r>
      <w:r w:rsidRPr="004D1C1B">
        <w:rPr>
          <w:color w:val="1E3763"/>
          <w:u w:color="1E3763"/>
          <w:lang w:val="en-GB"/>
        </w:rPr>
        <w:t>policies</w:t>
      </w:r>
      <w:r w:rsidRPr="004D1C1B">
        <w:rPr>
          <w:color w:val="1E3763"/>
          <w:spacing w:val="-3"/>
          <w:u w:color="1E3763"/>
          <w:lang w:val="en-GB"/>
        </w:rPr>
        <w:t xml:space="preserve"> </w:t>
      </w:r>
      <w:r w:rsidRPr="004D1C1B">
        <w:rPr>
          <w:color w:val="1E3763"/>
          <w:u w:color="1E3763"/>
          <w:lang w:val="en-GB"/>
        </w:rPr>
        <w:t>in</w:t>
      </w:r>
      <w:r w:rsidRPr="004D1C1B">
        <w:rPr>
          <w:color w:val="1E3763"/>
          <w:spacing w:val="-2"/>
          <w:u w:color="1E3763"/>
          <w:lang w:val="en-GB"/>
        </w:rPr>
        <w:t xml:space="preserve"> </w:t>
      </w:r>
      <w:r w:rsidRPr="004D1C1B">
        <w:rPr>
          <w:color w:val="1E3763"/>
          <w:u w:color="1E3763"/>
          <w:lang w:val="en-GB"/>
        </w:rPr>
        <w:t>relation</w:t>
      </w:r>
      <w:r w:rsidRPr="004D1C1B">
        <w:rPr>
          <w:color w:val="1E3763"/>
          <w:spacing w:val="-4"/>
          <w:u w:color="1E3763"/>
          <w:lang w:val="en-GB"/>
        </w:rPr>
        <w:t xml:space="preserve"> </w:t>
      </w:r>
      <w:r w:rsidRPr="004D1C1B">
        <w:rPr>
          <w:color w:val="1E3763"/>
          <w:u w:color="1E3763"/>
          <w:lang w:val="en-GB"/>
        </w:rPr>
        <w:t>to</w:t>
      </w:r>
      <w:r w:rsidRPr="004D1C1B">
        <w:rPr>
          <w:color w:val="1E3763"/>
          <w:spacing w:val="-2"/>
          <w:u w:color="1E3763"/>
          <w:lang w:val="en-GB"/>
        </w:rPr>
        <w:t xml:space="preserve"> </w:t>
      </w:r>
      <w:r w:rsidR="00A15096" w:rsidRPr="004D1C1B">
        <w:rPr>
          <w:color w:val="1E3763"/>
          <w:spacing w:val="-2"/>
          <w:u w:color="1E3763"/>
          <w:lang w:val="en-GB"/>
        </w:rPr>
        <w:t xml:space="preserve">the integration of </w:t>
      </w:r>
      <w:r w:rsidRPr="004D1C1B">
        <w:rPr>
          <w:color w:val="1E3763"/>
          <w:u w:color="1E3763"/>
          <w:lang w:val="en-GB"/>
        </w:rPr>
        <w:t xml:space="preserve">sustainability </w:t>
      </w:r>
      <w:r w:rsidRPr="004D1C1B">
        <w:rPr>
          <w:color w:val="1E3763"/>
          <w:spacing w:val="-2"/>
          <w:u w:color="1E3763"/>
          <w:lang w:val="en-GB"/>
        </w:rPr>
        <w:t>risks</w:t>
      </w:r>
    </w:p>
    <w:p w14:paraId="46BE0A8F" w14:textId="77777777" w:rsidR="006900C1" w:rsidRPr="004D1C1B" w:rsidRDefault="006900C1" w:rsidP="00D90091">
      <w:pPr>
        <w:pStyle w:val="Heading1"/>
        <w:ind w:left="0"/>
        <w:jc w:val="both"/>
        <w:rPr>
          <w:u w:val="none"/>
          <w:lang w:val="en-GB"/>
        </w:rPr>
      </w:pPr>
    </w:p>
    <w:p w14:paraId="774847F7" w14:textId="3A5464BF" w:rsidR="00B460F1" w:rsidRPr="004D1C1B" w:rsidRDefault="00367AA2">
      <w:pPr>
        <w:pStyle w:val="BodyText"/>
        <w:jc w:val="both"/>
        <w:rPr>
          <w:lang w:val="en-GB"/>
        </w:rPr>
      </w:pPr>
      <w:r w:rsidRPr="004D1C1B">
        <w:rPr>
          <w:lang w:val="en-GB"/>
        </w:rPr>
        <w:t>Pursuant to Article 5 of</w:t>
      </w:r>
      <w:r w:rsidR="00A15096" w:rsidRPr="004D1C1B">
        <w:rPr>
          <w:lang w:val="en-GB"/>
        </w:rPr>
        <w:t xml:space="preserve"> the SFDR</w:t>
      </w:r>
      <w:r w:rsidRPr="004D1C1B">
        <w:rPr>
          <w:lang w:val="en-GB"/>
        </w:rPr>
        <w:t xml:space="preserve">, </w:t>
      </w:r>
      <w:r w:rsidR="00A15096" w:rsidRPr="004D1C1B">
        <w:rPr>
          <w:lang w:val="en-GB"/>
        </w:rPr>
        <w:t>under</w:t>
      </w:r>
      <w:r w:rsidRPr="004D1C1B">
        <w:rPr>
          <w:lang w:val="en-GB"/>
        </w:rPr>
        <w:t xml:space="preserve"> which the </w:t>
      </w:r>
      <w:r w:rsidR="00B2576D" w:rsidRPr="004D1C1B">
        <w:rPr>
          <w:lang w:val="en-GB"/>
        </w:rPr>
        <w:t>Firm</w:t>
      </w:r>
      <w:r w:rsidRPr="004D1C1B">
        <w:rPr>
          <w:lang w:val="en-GB"/>
        </w:rPr>
        <w:t xml:space="preserve"> is</w:t>
      </w:r>
      <w:r w:rsidR="00A15096" w:rsidRPr="004D1C1B">
        <w:rPr>
          <w:lang w:val="en-GB"/>
        </w:rPr>
        <w:t xml:space="preserve"> required</w:t>
      </w:r>
      <w:r w:rsidRPr="004D1C1B">
        <w:rPr>
          <w:lang w:val="en-GB"/>
        </w:rPr>
        <w:t xml:space="preserve"> to publish information on how </w:t>
      </w:r>
      <w:r w:rsidR="00A15096" w:rsidRPr="004D1C1B">
        <w:rPr>
          <w:lang w:val="en-GB"/>
        </w:rPr>
        <w:t xml:space="preserve">its remuneration policies are consistent with the integration of </w:t>
      </w:r>
      <w:proofErr w:type="spellStart"/>
      <w:r w:rsidR="00A15096" w:rsidRPr="004D1C1B">
        <w:rPr>
          <w:lang w:val="en-GB"/>
        </w:rPr>
        <w:t>of</w:t>
      </w:r>
      <w:proofErr w:type="spellEnd"/>
      <w:r w:rsidR="00A15096" w:rsidRPr="004D1C1B">
        <w:rPr>
          <w:lang w:val="en-GB"/>
        </w:rPr>
        <w:t xml:space="preserve"> sustainability risks</w:t>
      </w:r>
      <w:r w:rsidRPr="004D1C1B">
        <w:rPr>
          <w:lang w:val="en-GB"/>
        </w:rPr>
        <w:t xml:space="preserve">, the </w:t>
      </w:r>
      <w:r w:rsidR="00B2576D" w:rsidRPr="004D1C1B">
        <w:rPr>
          <w:lang w:val="en-GB"/>
        </w:rPr>
        <w:t>Firm</w:t>
      </w:r>
      <w:r w:rsidRPr="004D1C1B">
        <w:rPr>
          <w:lang w:val="en-GB"/>
        </w:rPr>
        <w:t xml:space="preserve"> has adopted</w:t>
      </w:r>
      <w:r w:rsidRPr="004D1C1B">
        <w:rPr>
          <w:spacing w:val="80"/>
          <w:lang w:val="en-GB"/>
        </w:rPr>
        <w:t xml:space="preserve"> </w:t>
      </w:r>
      <w:r w:rsidRPr="004D1C1B">
        <w:rPr>
          <w:lang w:val="en-GB"/>
        </w:rPr>
        <w:t>an internal</w:t>
      </w:r>
      <w:r w:rsidRPr="004D1C1B">
        <w:rPr>
          <w:spacing w:val="40"/>
          <w:lang w:val="en-GB"/>
        </w:rPr>
        <w:t xml:space="preserve"> </w:t>
      </w:r>
      <w:r w:rsidRPr="004D1C1B">
        <w:rPr>
          <w:lang w:val="en-GB"/>
        </w:rPr>
        <w:t>Re</w:t>
      </w:r>
      <w:r w:rsidR="00C4054A" w:rsidRPr="004D1C1B">
        <w:rPr>
          <w:lang w:val="en-GB"/>
        </w:rPr>
        <w:t>mune</w:t>
      </w:r>
      <w:r w:rsidRPr="004D1C1B">
        <w:rPr>
          <w:lang w:val="en-GB"/>
        </w:rPr>
        <w:t xml:space="preserve">ration </w:t>
      </w:r>
      <w:r w:rsidR="00A15096" w:rsidRPr="004D1C1B">
        <w:rPr>
          <w:lang w:val="en-GB"/>
        </w:rPr>
        <w:t>P</w:t>
      </w:r>
      <w:r w:rsidRPr="004D1C1B">
        <w:rPr>
          <w:lang w:val="en-GB"/>
        </w:rPr>
        <w:t xml:space="preserve">olicy that is aligned with the </w:t>
      </w:r>
      <w:r w:rsidR="00A15096" w:rsidRPr="004D1C1B">
        <w:rPr>
          <w:lang w:val="en-GB"/>
        </w:rPr>
        <w:t xml:space="preserve">Firm’s </w:t>
      </w:r>
      <w:r w:rsidRPr="004D1C1B">
        <w:rPr>
          <w:lang w:val="en-GB"/>
        </w:rPr>
        <w:t xml:space="preserve">business strategy </w:t>
      </w:r>
      <w:r w:rsidR="00B460F1" w:rsidRPr="004D1C1B">
        <w:rPr>
          <w:lang w:val="en-GB"/>
        </w:rPr>
        <w:t>and designed to avoid incentives for excessive risk-taking, including with respect to sustainability risks.</w:t>
      </w:r>
      <w:r w:rsidR="00B460F1" w:rsidRPr="004D1C1B" w:rsidDel="00B460F1">
        <w:rPr>
          <w:lang w:val="en-GB"/>
        </w:rPr>
        <w:t xml:space="preserve"> </w:t>
      </w:r>
    </w:p>
    <w:p w14:paraId="2BF05411" w14:textId="77777777" w:rsidR="00A15096" w:rsidRPr="004D1C1B" w:rsidRDefault="00A15096" w:rsidP="00A15096">
      <w:pPr>
        <w:pStyle w:val="BodyText"/>
        <w:jc w:val="both"/>
        <w:rPr>
          <w:lang w:val="en-GB"/>
        </w:rPr>
      </w:pPr>
    </w:p>
    <w:p w14:paraId="3DD5E179" w14:textId="1514BCC9" w:rsidR="00A15096" w:rsidRPr="004D1C1B" w:rsidRDefault="00A15096" w:rsidP="00A15096">
      <w:pPr>
        <w:pStyle w:val="BodyText"/>
        <w:jc w:val="both"/>
        <w:rPr>
          <w:lang w:val="en-GB"/>
        </w:rPr>
      </w:pPr>
      <w:r w:rsidRPr="004D1C1B">
        <w:rPr>
          <w:lang w:val="en-GB"/>
        </w:rPr>
        <w:t>Sustainability risk considerations form part of the Firm’s broader risk management processes; however, the Firm does not currently apply a standalone, quantitative “sustainability-linked” remuneration metric. For relevant personnel, performance assessment may nevertheless consider ESG-related criteria, including ESG compliance, incident management and ESG value-creation contributions, as part of the Firm’s broader appraisal framework. While the remuneration policy applies uniformly across both funds, the enhanced ESG integration process of Fund II means that sustainability risks are more explicitly assessed during investment decision-making. However, this does not amount to a standalone quantitative sustainability-linked remuneration metric and does not alter the remuneration structure in a way that would encourage excessive sustainability risk-taking; rather, the intent is to align incentives with prudent risk management and long-term value creation.</w:t>
      </w:r>
    </w:p>
    <w:p w14:paraId="2807B258" w14:textId="77777777" w:rsidR="00A15096" w:rsidRPr="004D1C1B" w:rsidRDefault="00A15096">
      <w:pPr>
        <w:pStyle w:val="BodyText"/>
        <w:jc w:val="both"/>
        <w:rPr>
          <w:lang w:val="en-GB"/>
        </w:rPr>
      </w:pPr>
    </w:p>
    <w:p w14:paraId="3A0A4DC7" w14:textId="77777777" w:rsidR="00A15096" w:rsidRPr="004D1C1B" w:rsidRDefault="00A15096">
      <w:pPr>
        <w:pStyle w:val="BodyText"/>
        <w:jc w:val="both"/>
        <w:rPr>
          <w:lang w:val="en-GB"/>
        </w:rPr>
      </w:pPr>
    </w:p>
    <w:p w14:paraId="6AC23D2E" w14:textId="60CB9DD1" w:rsidR="00CB511F" w:rsidRPr="004D1C1B" w:rsidRDefault="00CB511F" w:rsidP="00D90091">
      <w:pPr>
        <w:pStyle w:val="BodyText"/>
        <w:jc w:val="both"/>
        <w:rPr>
          <w:lang w:val="en-GB"/>
        </w:rPr>
      </w:pPr>
    </w:p>
    <w:p w14:paraId="0F28CBA6" w14:textId="797FC538" w:rsidR="00CB511F" w:rsidRPr="004D1C1B" w:rsidRDefault="00CB511F" w:rsidP="00D90091">
      <w:pPr>
        <w:pStyle w:val="BodyText"/>
        <w:jc w:val="both"/>
        <w:rPr>
          <w:lang w:val="en-GB"/>
        </w:rPr>
      </w:pPr>
    </w:p>
    <w:sectPr w:rsidR="00CB511F" w:rsidRPr="004D1C1B" w:rsidSect="00D90091">
      <w:headerReference w:type="default" r:id="rId10"/>
      <w:footerReference w:type="even" r:id="rId11"/>
      <w:footerReference w:type="default" r:id="rId12"/>
      <w:pgSz w:w="11910" w:h="16840"/>
      <w:pgMar w:top="1843" w:right="1276"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5A8B7" w14:textId="77777777" w:rsidR="006761AA" w:rsidRDefault="006761AA" w:rsidP="00697D50">
      <w:r>
        <w:separator/>
      </w:r>
    </w:p>
  </w:endnote>
  <w:endnote w:type="continuationSeparator" w:id="0">
    <w:p w14:paraId="5084A84B" w14:textId="77777777" w:rsidR="006761AA" w:rsidRDefault="006761AA" w:rsidP="0069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2097874"/>
      <w:docPartObj>
        <w:docPartGallery w:val="Page Numbers (Bottom of Page)"/>
        <w:docPartUnique/>
      </w:docPartObj>
    </w:sdtPr>
    <w:sdtEndPr>
      <w:rPr>
        <w:rStyle w:val="PageNumber"/>
      </w:rPr>
    </w:sdtEndPr>
    <w:sdtContent>
      <w:p w14:paraId="478A6676" w14:textId="6E9B841E" w:rsidR="00DC6D28" w:rsidRDefault="00DC6D28" w:rsidP="00E11C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F0D790" w14:textId="77777777" w:rsidR="00DC6D28" w:rsidRDefault="00DC6D28" w:rsidP="00D900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872965919"/>
      <w:docPartObj>
        <w:docPartGallery w:val="Page Numbers (Bottom of Page)"/>
        <w:docPartUnique/>
      </w:docPartObj>
    </w:sdtPr>
    <w:sdtEndPr>
      <w:rPr>
        <w:rStyle w:val="PageNumber"/>
      </w:rPr>
    </w:sdtEndPr>
    <w:sdtContent>
      <w:p w14:paraId="0D13076A" w14:textId="34DDCD8C" w:rsidR="00DC6D28" w:rsidRPr="00D90091" w:rsidRDefault="00DC6D28" w:rsidP="00E11C78">
        <w:pPr>
          <w:pStyle w:val="Footer"/>
          <w:framePr w:wrap="none" w:vAnchor="text" w:hAnchor="margin" w:xAlign="right" w:y="1"/>
          <w:rPr>
            <w:rStyle w:val="PageNumber"/>
            <w:sz w:val="21"/>
            <w:szCs w:val="21"/>
          </w:rPr>
        </w:pPr>
        <w:r w:rsidRPr="00D90091">
          <w:rPr>
            <w:rStyle w:val="PageNumber"/>
            <w:sz w:val="21"/>
            <w:szCs w:val="21"/>
          </w:rPr>
          <w:fldChar w:fldCharType="begin"/>
        </w:r>
        <w:r w:rsidRPr="00D90091">
          <w:rPr>
            <w:rStyle w:val="PageNumber"/>
            <w:sz w:val="21"/>
            <w:szCs w:val="21"/>
          </w:rPr>
          <w:instrText xml:space="preserve"> PAGE </w:instrText>
        </w:r>
        <w:r w:rsidRPr="00D90091">
          <w:rPr>
            <w:rStyle w:val="PageNumber"/>
            <w:sz w:val="21"/>
            <w:szCs w:val="21"/>
          </w:rPr>
          <w:fldChar w:fldCharType="separate"/>
        </w:r>
        <w:r w:rsidRPr="00D90091">
          <w:rPr>
            <w:rStyle w:val="PageNumber"/>
            <w:noProof/>
            <w:sz w:val="21"/>
            <w:szCs w:val="21"/>
          </w:rPr>
          <w:t>5</w:t>
        </w:r>
        <w:r w:rsidRPr="00D90091">
          <w:rPr>
            <w:rStyle w:val="PageNumber"/>
            <w:sz w:val="21"/>
            <w:szCs w:val="21"/>
          </w:rPr>
          <w:fldChar w:fldCharType="end"/>
        </w:r>
      </w:p>
    </w:sdtContent>
  </w:sdt>
  <w:p w14:paraId="60CBFF6E" w14:textId="77777777" w:rsidR="00DC6D28" w:rsidRDefault="00DC6D28" w:rsidP="00D900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CE4E8" w14:textId="77777777" w:rsidR="006761AA" w:rsidRDefault="006761AA" w:rsidP="00697D50">
      <w:r>
        <w:separator/>
      </w:r>
    </w:p>
  </w:footnote>
  <w:footnote w:type="continuationSeparator" w:id="0">
    <w:p w14:paraId="34CAB761" w14:textId="77777777" w:rsidR="006761AA" w:rsidRDefault="006761AA" w:rsidP="00697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0A2B" w14:textId="48969C82" w:rsidR="00697D50" w:rsidRDefault="00697D50">
    <w:pPr>
      <w:pStyle w:val="Header"/>
    </w:pPr>
    <w:r w:rsidRPr="00D90091">
      <w:rPr>
        <w:noProof/>
        <w:sz w:val="19"/>
        <w:lang w:val="en-GB"/>
      </w:rPr>
      <w:drawing>
        <wp:anchor distT="0" distB="0" distL="0" distR="0" simplePos="0" relativeHeight="251659264" behindDoc="0" locked="0" layoutInCell="1" allowOverlap="1" wp14:anchorId="54FEFD05" wp14:editId="553D81D5">
          <wp:simplePos x="0" y="0"/>
          <wp:positionH relativeFrom="page">
            <wp:posOffset>809625</wp:posOffset>
          </wp:positionH>
          <wp:positionV relativeFrom="paragraph">
            <wp:posOffset>0</wp:posOffset>
          </wp:positionV>
          <wp:extent cx="877146" cy="403013"/>
          <wp:effectExtent l="0" t="0" r="0" b="0"/>
          <wp:wrapNone/>
          <wp:docPr id="9869579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7146" cy="403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B36"/>
    <w:multiLevelType w:val="hybridMultilevel"/>
    <w:tmpl w:val="2F8689D2"/>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1" w15:restartNumberingAfterBreak="0">
    <w:nsid w:val="2BFA5317"/>
    <w:multiLevelType w:val="hybridMultilevel"/>
    <w:tmpl w:val="492EF87C"/>
    <w:lvl w:ilvl="0" w:tplc="DF0AFBE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7662DB"/>
    <w:multiLevelType w:val="hybridMultilevel"/>
    <w:tmpl w:val="4FE6B3DE"/>
    <w:lvl w:ilvl="0" w:tplc="AC388E58">
      <w:start w:val="1"/>
      <w:numFmt w:val="lowerRoman"/>
      <w:lvlText w:val="(%1)"/>
      <w:lvlJc w:val="left"/>
      <w:pPr>
        <w:ind w:left="846" w:hanging="360"/>
      </w:pPr>
      <w:rPr>
        <w:rFonts w:hint="default"/>
      </w:rPr>
    </w:lvl>
    <w:lvl w:ilvl="1" w:tplc="08090019" w:tentative="1">
      <w:start w:val="1"/>
      <w:numFmt w:val="lowerLetter"/>
      <w:lvlText w:val="%2."/>
      <w:lvlJc w:val="left"/>
      <w:pPr>
        <w:ind w:left="1566" w:hanging="360"/>
      </w:pPr>
    </w:lvl>
    <w:lvl w:ilvl="2" w:tplc="0809001B" w:tentative="1">
      <w:start w:val="1"/>
      <w:numFmt w:val="lowerRoman"/>
      <w:lvlText w:val="%3."/>
      <w:lvlJc w:val="right"/>
      <w:pPr>
        <w:ind w:left="2286" w:hanging="180"/>
      </w:pPr>
    </w:lvl>
    <w:lvl w:ilvl="3" w:tplc="0809000F" w:tentative="1">
      <w:start w:val="1"/>
      <w:numFmt w:val="decimal"/>
      <w:lvlText w:val="%4."/>
      <w:lvlJc w:val="left"/>
      <w:pPr>
        <w:ind w:left="3006" w:hanging="360"/>
      </w:pPr>
    </w:lvl>
    <w:lvl w:ilvl="4" w:tplc="08090019" w:tentative="1">
      <w:start w:val="1"/>
      <w:numFmt w:val="lowerLetter"/>
      <w:lvlText w:val="%5."/>
      <w:lvlJc w:val="left"/>
      <w:pPr>
        <w:ind w:left="3726" w:hanging="360"/>
      </w:pPr>
    </w:lvl>
    <w:lvl w:ilvl="5" w:tplc="0809001B" w:tentative="1">
      <w:start w:val="1"/>
      <w:numFmt w:val="lowerRoman"/>
      <w:lvlText w:val="%6."/>
      <w:lvlJc w:val="right"/>
      <w:pPr>
        <w:ind w:left="4446" w:hanging="180"/>
      </w:pPr>
    </w:lvl>
    <w:lvl w:ilvl="6" w:tplc="0809000F" w:tentative="1">
      <w:start w:val="1"/>
      <w:numFmt w:val="decimal"/>
      <w:lvlText w:val="%7."/>
      <w:lvlJc w:val="left"/>
      <w:pPr>
        <w:ind w:left="5166" w:hanging="360"/>
      </w:pPr>
    </w:lvl>
    <w:lvl w:ilvl="7" w:tplc="08090019" w:tentative="1">
      <w:start w:val="1"/>
      <w:numFmt w:val="lowerLetter"/>
      <w:lvlText w:val="%8."/>
      <w:lvlJc w:val="left"/>
      <w:pPr>
        <w:ind w:left="5886" w:hanging="360"/>
      </w:pPr>
    </w:lvl>
    <w:lvl w:ilvl="8" w:tplc="0809001B" w:tentative="1">
      <w:start w:val="1"/>
      <w:numFmt w:val="lowerRoman"/>
      <w:lvlText w:val="%9."/>
      <w:lvlJc w:val="right"/>
      <w:pPr>
        <w:ind w:left="6606" w:hanging="180"/>
      </w:pPr>
    </w:lvl>
  </w:abstractNum>
  <w:abstractNum w:abstractNumId="3" w15:restartNumberingAfterBreak="0">
    <w:nsid w:val="5E634991"/>
    <w:multiLevelType w:val="hybridMultilevel"/>
    <w:tmpl w:val="E4A04C06"/>
    <w:lvl w:ilvl="0" w:tplc="89E0D8EC">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3915A34"/>
    <w:multiLevelType w:val="hybridMultilevel"/>
    <w:tmpl w:val="7FCEA922"/>
    <w:lvl w:ilvl="0" w:tplc="AC388E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8709118">
    <w:abstractNumId w:val="2"/>
  </w:num>
  <w:num w:numId="2" w16cid:durableId="2112820414">
    <w:abstractNumId w:val="4"/>
  </w:num>
  <w:num w:numId="3" w16cid:durableId="721250407">
    <w:abstractNumId w:val="0"/>
  </w:num>
  <w:num w:numId="4" w16cid:durableId="62721854">
    <w:abstractNumId w:val="3"/>
  </w:num>
  <w:num w:numId="5" w16cid:durableId="1990285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CF"/>
    <w:rsid w:val="0003231D"/>
    <w:rsid w:val="000E2D25"/>
    <w:rsid w:val="001250EA"/>
    <w:rsid w:val="00131CEB"/>
    <w:rsid w:val="001E0AC7"/>
    <w:rsid w:val="0025584C"/>
    <w:rsid w:val="00367AA2"/>
    <w:rsid w:val="00445111"/>
    <w:rsid w:val="00457DB8"/>
    <w:rsid w:val="00480950"/>
    <w:rsid w:val="004D1C1B"/>
    <w:rsid w:val="004D58A3"/>
    <w:rsid w:val="004F334F"/>
    <w:rsid w:val="00505257"/>
    <w:rsid w:val="005D7C21"/>
    <w:rsid w:val="00601642"/>
    <w:rsid w:val="006761AA"/>
    <w:rsid w:val="0067676F"/>
    <w:rsid w:val="006900C1"/>
    <w:rsid w:val="00697D50"/>
    <w:rsid w:val="006A291D"/>
    <w:rsid w:val="006A2D8C"/>
    <w:rsid w:val="006B32F1"/>
    <w:rsid w:val="007517B6"/>
    <w:rsid w:val="00834FBC"/>
    <w:rsid w:val="00876B77"/>
    <w:rsid w:val="00886A40"/>
    <w:rsid w:val="008D1562"/>
    <w:rsid w:val="008E5B95"/>
    <w:rsid w:val="00900C93"/>
    <w:rsid w:val="00941BA8"/>
    <w:rsid w:val="009D4941"/>
    <w:rsid w:val="00A03CC9"/>
    <w:rsid w:val="00A075BA"/>
    <w:rsid w:val="00A15096"/>
    <w:rsid w:val="00A215C8"/>
    <w:rsid w:val="00AA597D"/>
    <w:rsid w:val="00B022FC"/>
    <w:rsid w:val="00B2576D"/>
    <w:rsid w:val="00B3642F"/>
    <w:rsid w:val="00B460F1"/>
    <w:rsid w:val="00BA4D42"/>
    <w:rsid w:val="00BE4355"/>
    <w:rsid w:val="00BF7E4E"/>
    <w:rsid w:val="00C22C36"/>
    <w:rsid w:val="00C4054A"/>
    <w:rsid w:val="00C6111A"/>
    <w:rsid w:val="00CB511F"/>
    <w:rsid w:val="00CF64CF"/>
    <w:rsid w:val="00D90091"/>
    <w:rsid w:val="00DC6D28"/>
    <w:rsid w:val="00EA6DC2"/>
    <w:rsid w:val="00ED1395"/>
    <w:rsid w:val="00EF19FE"/>
    <w:rsid w:val="00F32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3385"/>
  <w15:docId w15:val="{5DAA03D4-D5CE-904C-A01D-8E641CCB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
      <w:outlineLvl w:val="0"/>
    </w:pPr>
    <w:rPr>
      <w:b/>
      <w:bCs/>
      <w:sz w:val="25"/>
      <w:szCs w:val="25"/>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
      <w:ind w:left="3"/>
      <w:jc w:val="center"/>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F7E4E"/>
    <w:pPr>
      <w:widowControl/>
      <w:autoSpaceDE/>
      <w:autoSpaceDN/>
    </w:pPr>
    <w:rPr>
      <w:rFonts w:ascii="Calibri" w:eastAsia="Calibri" w:hAnsi="Calibri" w:cs="Calibri"/>
    </w:rPr>
  </w:style>
  <w:style w:type="paragraph" w:styleId="Header">
    <w:name w:val="header"/>
    <w:basedOn w:val="Normal"/>
    <w:link w:val="HeaderChar"/>
    <w:uiPriority w:val="99"/>
    <w:unhideWhenUsed/>
    <w:rsid w:val="00697D50"/>
    <w:pPr>
      <w:tabs>
        <w:tab w:val="center" w:pos="4536"/>
        <w:tab w:val="right" w:pos="9072"/>
      </w:tabs>
    </w:pPr>
  </w:style>
  <w:style w:type="character" w:customStyle="1" w:styleId="HeaderChar">
    <w:name w:val="Header Char"/>
    <w:basedOn w:val="DefaultParagraphFont"/>
    <w:link w:val="Header"/>
    <w:uiPriority w:val="99"/>
    <w:rsid w:val="00697D50"/>
    <w:rPr>
      <w:rFonts w:ascii="Calibri" w:eastAsia="Calibri" w:hAnsi="Calibri" w:cs="Calibri"/>
    </w:rPr>
  </w:style>
  <w:style w:type="paragraph" w:styleId="Footer">
    <w:name w:val="footer"/>
    <w:basedOn w:val="Normal"/>
    <w:link w:val="FooterChar"/>
    <w:uiPriority w:val="99"/>
    <w:unhideWhenUsed/>
    <w:rsid w:val="00697D50"/>
    <w:pPr>
      <w:tabs>
        <w:tab w:val="center" w:pos="4536"/>
        <w:tab w:val="right" w:pos="9072"/>
      </w:tabs>
    </w:pPr>
  </w:style>
  <w:style w:type="character" w:customStyle="1" w:styleId="FooterChar">
    <w:name w:val="Footer Char"/>
    <w:basedOn w:val="DefaultParagraphFont"/>
    <w:link w:val="Footer"/>
    <w:uiPriority w:val="99"/>
    <w:rsid w:val="00697D50"/>
    <w:rPr>
      <w:rFonts w:ascii="Calibri" w:eastAsia="Calibri" w:hAnsi="Calibri" w:cs="Calibri"/>
    </w:rPr>
  </w:style>
  <w:style w:type="character" w:styleId="CommentReference">
    <w:name w:val="annotation reference"/>
    <w:basedOn w:val="DefaultParagraphFont"/>
    <w:uiPriority w:val="99"/>
    <w:semiHidden/>
    <w:unhideWhenUsed/>
    <w:rsid w:val="00C4054A"/>
    <w:rPr>
      <w:sz w:val="16"/>
      <w:szCs w:val="16"/>
    </w:rPr>
  </w:style>
  <w:style w:type="paragraph" w:styleId="CommentText">
    <w:name w:val="annotation text"/>
    <w:basedOn w:val="Normal"/>
    <w:link w:val="CommentTextChar"/>
    <w:uiPriority w:val="99"/>
    <w:unhideWhenUsed/>
    <w:rsid w:val="00C4054A"/>
    <w:rPr>
      <w:sz w:val="20"/>
      <w:szCs w:val="20"/>
    </w:rPr>
  </w:style>
  <w:style w:type="character" w:customStyle="1" w:styleId="CommentTextChar">
    <w:name w:val="Comment Text Char"/>
    <w:basedOn w:val="DefaultParagraphFont"/>
    <w:link w:val="CommentText"/>
    <w:uiPriority w:val="99"/>
    <w:rsid w:val="00C4054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4054A"/>
    <w:rPr>
      <w:b/>
      <w:bCs/>
    </w:rPr>
  </w:style>
  <w:style w:type="character" w:customStyle="1" w:styleId="CommentSubjectChar">
    <w:name w:val="Comment Subject Char"/>
    <w:basedOn w:val="CommentTextChar"/>
    <w:link w:val="CommentSubject"/>
    <w:uiPriority w:val="99"/>
    <w:semiHidden/>
    <w:rsid w:val="00C4054A"/>
    <w:rPr>
      <w:rFonts w:ascii="Calibri" w:eastAsia="Calibri" w:hAnsi="Calibri" w:cs="Calibri"/>
      <w:b/>
      <w:bCs/>
      <w:sz w:val="20"/>
      <w:szCs w:val="20"/>
    </w:rPr>
  </w:style>
  <w:style w:type="character" w:styleId="PageNumber">
    <w:name w:val="page number"/>
    <w:basedOn w:val="DefaultParagraphFont"/>
    <w:uiPriority w:val="99"/>
    <w:semiHidden/>
    <w:unhideWhenUsed/>
    <w:rsid w:val="00DC6D28"/>
  </w:style>
  <w:style w:type="paragraph" w:customStyle="1" w:styleId="Heading1Custom">
    <w:name w:val="Heading 1 Custom"/>
    <w:basedOn w:val="Heading1"/>
    <w:qFormat/>
    <w:rsid w:val="00DC6D28"/>
    <w:pPr>
      <w:ind w:left="0"/>
      <w:jc w:val="both"/>
    </w:pPr>
    <w:rPr>
      <w:color w:val="1E3763"/>
      <w:u w:color="1E3763"/>
      <w:lang w:val="en-GB"/>
    </w:rPr>
  </w:style>
  <w:style w:type="paragraph" w:customStyle="1" w:styleId="Heading2Custom">
    <w:name w:val="Heading 2 Custom"/>
    <w:basedOn w:val="Heading1Custom"/>
    <w:qFormat/>
    <w:rsid w:val="00DC6D28"/>
    <w:rPr>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4F7DE2609A1E46857CDC2A7D8360C9" ma:contentTypeVersion="21" ma:contentTypeDescription="Create a new document." ma:contentTypeScope="" ma:versionID="9ec65eaf23c24a0465f0823def152cc8">
  <xsd:schema xmlns:xsd="http://www.w3.org/2001/XMLSchema" xmlns:xs="http://www.w3.org/2001/XMLSchema" xmlns:p="http://schemas.microsoft.com/office/2006/metadata/properties" xmlns:ns1="http://schemas.microsoft.com/sharepoint/v3" xmlns:ns2="d4c4f6c7-25a9-40cf-b347-0327acdd5ea8" xmlns:ns3="572e73b3-11ff-42d7-9247-091d7aebb192" targetNamespace="http://schemas.microsoft.com/office/2006/metadata/properties" ma:root="true" ma:fieldsID="8b7571208a787f543e5c8bd8d6d1af40" ns1:_="" ns2:_="" ns3:_="">
    <xsd:import namespace="http://schemas.microsoft.com/sharepoint/v3"/>
    <xsd:import namespace="d4c4f6c7-25a9-40cf-b347-0327acdd5ea8"/>
    <xsd:import namespace="572e73b3-11ff-42d7-9247-091d7aebb1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f6c7-25a9-40cf-b347-0327acdd5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cb8bf1-9921-4fc9-9bf1-ae2f166e9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e73b3-11ff-42d7-9247-091d7aebb1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7a883f-a6bb-4a55-bcf3-2e122ab806c7}" ma:internalName="TaxCatchAll" ma:showField="CatchAllData" ma:web="572e73b3-11ff-42d7-9247-091d7aebb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72e73b3-11ff-42d7-9247-091d7aebb192" xsi:nil="true"/>
    <lcf76f155ced4ddcb4097134ff3c332f xmlns="d4c4f6c7-25a9-40cf-b347-0327acdd5e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B01C8E-D33F-450E-8A43-E8A9D71F7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c4f6c7-25a9-40cf-b347-0327acdd5ea8"/>
    <ds:schemaRef ds:uri="572e73b3-11ff-42d7-9247-091d7aebb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E529D-4C09-45EC-80BF-F1E4ADBE8389}">
  <ds:schemaRefs>
    <ds:schemaRef ds:uri="http://schemas.microsoft.com/sharepoint/v3/contenttype/forms"/>
  </ds:schemaRefs>
</ds:datastoreItem>
</file>

<file path=customXml/itemProps3.xml><?xml version="1.0" encoding="utf-8"?>
<ds:datastoreItem xmlns:ds="http://schemas.openxmlformats.org/officeDocument/2006/customXml" ds:itemID="{704D0741-1E5A-4238-BF8A-3AF3047B3D0C}">
  <ds:schemaRefs>
    <ds:schemaRef ds:uri="http://schemas.microsoft.com/office/2006/metadata/properties"/>
    <ds:schemaRef ds:uri="http://schemas.microsoft.com/office/infopath/2007/PartnerControls"/>
    <ds:schemaRef ds:uri="http://schemas.microsoft.com/sharepoint/v3"/>
    <ds:schemaRef ds:uri="572e73b3-11ff-42d7-9247-091d7aebb192"/>
    <ds:schemaRef ds:uri="d4c4f6c7-25a9-40cf-b347-0327acdd5ea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2083</Words>
  <Characters>11878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Microsoft Word - PAI statemet.docx</vt:lpstr>
    </vt:vector>
  </TitlesOfParts>
  <Manager/>
  <Company/>
  <LinksUpToDate>false</LinksUpToDate>
  <CharactersWithSpaces>13934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Marovic</dc:creator>
  <cp:keywords/>
  <dc:description/>
  <cp:lastModifiedBy>Zrinka Vuković Berić</cp:lastModifiedBy>
  <cp:revision>2</cp:revision>
  <dcterms:created xsi:type="dcterms:W3CDTF">2026-07-21T14:03:00Z</dcterms:created>
  <dcterms:modified xsi:type="dcterms:W3CDTF">2026-07-21T14:03:00Z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2023-06-28T10:00:00Z</vt:filetime>
  </property>
  <property fmtid="{D5CDD505-2E9C-101B-9397-08002B2CF9AE}" pid="3" name="Creator">
    <vt:lpwstr>PScript5.dll Version 5.2.2</vt:lpwstr>
  </property>
  <property fmtid="{D5CDD505-2E9C-101B-9397-08002B2CF9AE}" pid="4" name="LastSaved">
    <vt:filetime>2025-07-21T10:00:00Z</vt:filetime>
  </property>
  <property fmtid="{D5CDD505-2E9C-101B-9397-08002B2CF9AE}" pid="5" name="Producer">
    <vt:lpwstr>Acrobat Distiller 23.0 (Windows)</vt:lpwstr>
  </property>
  <property fmtid="{D5CDD505-2E9C-101B-9397-08002B2CF9AE}" pid="6" name="ContentTypeId">
    <vt:lpwstr>0x010100444F7DE2609A1E46857CDC2A7D8360C9</vt:lpwstr>
  </property>
  <property fmtid="{D5CDD505-2E9C-101B-9397-08002B2CF9AE}" pid="7" name="MediaServiceImageTags">
    <vt:lpwstr/>
  </property>
  <property fmtid="{D5CDD505-2E9C-101B-9397-08002B2CF9AE}" pid="8" name="GrammarlyDocumentId">
    <vt:lpwstr>3ed13355-31e8-4ffc-9b3f-04d96ccb074d</vt:lpwstr>
  </property>
</Properties>
</file>