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B530" w14:textId="77777777" w:rsidR="00655F87" w:rsidRDefault="00655F87">
      <w:pPr>
        <w:rPr>
          <w:rFonts w:ascii="Verdana" w:hAnsi="Verdana"/>
          <w:sz w:val="20"/>
          <w:szCs w:val="20"/>
          <w:lang w:val="hr-HR"/>
        </w:rPr>
      </w:pPr>
    </w:p>
    <w:p w14:paraId="48D2486C" w14:textId="747437E9" w:rsidR="000D1A1F" w:rsidRDefault="000D1A1F" w:rsidP="000D1A1F">
      <w:pPr>
        <w:jc w:val="center"/>
        <w:rPr>
          <w:rFonts w:ascii="Verdana" w:hAnsi="Verdana"/>
          <w:b/>
          <w:bCs/>
        </w:rPr>
      </w:pPr>
      <w:r w:rsidRPr="00F0047B">
        <w:rPr>
          <w:rFonts w:ascii="Verdana" w:hAnsi="Verdana"/>
          <w:b/>
          <w:bCs/>
        </w:rPr>
        <w:t xml:space="preserve">UKUPAN BROJ DIONICA I PRAVA GLASA ZA </w:t>
      </w:r>
      <w:r>
        <w:rPr>
          <w:rFonts w:ascii="Verdana" w:hAnsi="Verdana"/>
          <w:b/>
          <w:bCs/>
        </w:rPr>
        <w:t>IZVANREDNU</w:t>
      </w:r>
      <w:r w:rsidRPr="00F0047B">
        <w:rPr>
          <w:rFonts w:ascii="Verdana" w:hAnsi="Verdana"/>
          <w:b/>
          <w:bCs/>
        </w:rPr>
        <w:t xml:space="preserve"> GLAVNU SKUPŠTINU TEHNIKA d.d. DANA </w:t>
      </w:r>
      <w:r w:rsidR="00EE663B">
        <w:rPr>
          <w:rFonts w:ascii="Verdana" w:hAnsi="Verdana"/>
          <w:b/>
          <w:bCs/>
        </w:rPr>
        <w:t>30.09.</w:t>
      </w:r>
      <w:r>
        <w:rPr>
          <w:rFonts w:ascii="Verdana" w:hAnsi="Verdana"/>
          <w:b/>
          <w:bCs/>
        </w:rPr>
        <w:t>2025.g.</w:t>
      </w:r>
    </w:p>
    <w:p w14:paraId="46312157" w14:textId="05F6C57D" w:rsidR="000D1A1F" w:rsidRDefault="000D1A1F" w:rsidP="000D1A1F">
      <w:pPr>
        <w:jc w:val="center"/>
        <w:rPr>
          <w:rFonts w:ascii="Verdana" w:hAnsi="Verdana"/>
          <w:b/>
          <w:bCs/>
        </w:rPr>
      </w:pPr>
    </w:p>
    <w:p w14:paraId="65D8D2BB" w14:textId="0B0EEE8D" w:rsidR="000D1A1F" w:rsidRDefault="000D1A1F" w:rsidP="000D1A1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Sukladno odredbi čl. 280a. st.1.toč4. Zakona o trgovačkim društvima, TEHNIKA d.d. objavljuje da na dan </w:t>
      </w:r>
      <w:r w:rsidR="00EE663B">
        <w:rPr>
          <w:rFonts w:ascii="Verdana" w:hAnsi="Verdana"/>
        </w:rPr>
        <w:t>31.07.2025.g.</w:t>
      </w:r>
      <w:r>
        <w:rPr>
          <w:rFonts w:ascii="Verdana" w:hAnsi="Verdana"/>
        </w:rPr>
        <w:t xml:space="preserve"> kao dana sazivanja </w:t>
      </w:r>
      <w:r w:rsidR="00EE663B">
        <w:rPr>
          <w:rFonts w:ascii="Verdana" w:hAnsi="Verdana"/>
        </w:rPr>
        <w:t xml:space="preserve">izvanredne </w:t>
      </w:r>
      <w:r>
        <w:rPr>
          <w:rFonts w:ascii="Verdana" w:hAnsi="Verdana"/>
        </w:rPr>
        <w:t>Glavne skupštine društva</w:t>
      </w:r>
      <w:r w:rsidR="00EE663B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ukupan broj redovnih dionica iznos 189.460, od čega su 969 vlastite dionice, što znači da je ukupan broj prava glasa </w:t>
      </w:r>
      <w:r w:rsidRPr="00F71494">
        <w:rPr>
          <w:rFonts w:ascii="Verdana" w:hAnsi="Verdana"/>
        </w:rPr>
        <w:t>188</w:t>
      </w:r>
      <w:r>
        <w:rPr>
          <w:rFonts w:ascii="Verdana" w:hAnsi="Verdana"/>
        </w:rPr>
        <w:t>.</w:t>
      </w:r>
      <w:r w:rsidRPr="00F71494">
        <w:rPr>
          <w:rFonts w:ascii="Verdana" w:hAnsi="Verdana"/>
        </w:rPr>
        <w:t>491</w:t>
      </w:r>
      <w:r>
        <w:rPr>
          <w:rFonts w:ascii="Verdana" w:hAnsi="Verdana"/>
        </w:rPr>
        <w:t>.</w:t>
      </w:r>
    </w:p>
    <w:p w14:paraId="4A193EC1" w14:textId="77777777" w:rsidR="000D1A1F" w:rsidRDefault="000D1A1F" w:rsidP="000D1A1F">
      <w:pPr>
        <w:rPr>
          <w:rFonts w:ascii="Verdana" w:hAnsi="Verdana"/>
        </w:rPr>
      </w:pPr>
    </w:p>
    <w:p w14:paraId="45893E64" w14:textId="77777777" w:rsidR="000D1A1F" w:rsidRDefault="000D1A1F" w:rsidP="000D1A1F">
      <w:pPr>
        <w:rPr>
          <w:rFonts w:ascii="Verdana" w:hAnsi="Verdana"/>
        </w:rPr>
      </w:pPr>
    </w:p>
    <w:p w14:paraId="3D2B58B9" w14:textId="77777777" w:rsidR="000D1A1F" w:rsidRPr="00F0047B" w:rsidRDefault="000D1A1F" w:rsidP="000D1A1F">
      <w:pPr>
        <w:jc w:val="right"/>
        <w:rPr>
          <w:rFonts w:ascii="Verdana" w:hAnsi="Verdana"/>
        </w:rPr>
      </w:pPr>
      <w:r>
        <w:rPr>
          <w:rFonts w:ascii="Verdana" w:hAnsi="Verdana"/>
        </w:rPr>
        <w:t>TEHNIKA d.d.</w:t>
      </w:r>
    </w:p>
    <w:p w14:paraId="56778CF9" w14:textId="77777777" w:rsidR="000D1A1F" w:rsidRPr="000D1A1F" w:rsidRDefault="000D1A1F">
      <w:pPr>
        <w:rPr>
          <w:lang w:val="hr-HR"/>
        </w:rPr>
      </w:pPr>
    </w:p>
    <w:sectPr w:rsidR="000D1A1F" w:rsidRPr="000D1A1F" w:rsidSect="000D1A1F">
      <w:headerReference w:type="default" r:id="rId6"/>
      <w:footerReference w:type="default" r:id="rId7"/>
      <w:footerReference w:type="first" r:id="rId8"/>
      <w:pgSz w:w="11900" w:h="16820"/>
      <w:pgMar w:top="2740" w:right="1127" w:bottom="1440" w:left="630" w:header="576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3A6E" w14:textId="77777777" w:rsidR="002F7DA2" w:rsidRDefault="002F7DA2">
      <w:pPr>
        <w:spacing w:after="0" w:line="240" w:lineRule="auto"/>
      </w:pPr>
      <w:r>
        <w:separator/>
      </w:r>
    </w:p>
  </w:endnote>
  <w:endnote w:type="continuationSeparator" w:id="0">
    <w:p w14:paraId="64427397" w14:textId="77777777" w:rsidR="002F7DA2" w:rsidRDefault="002F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hnika">
    <w:altName w:val="Calibri"/>
    <w:charset w:val="00"/>
    <w:family w:val="auto"/>
    <w:pitch w:val="variable"/>
    <w:sig w:usb0="A10000FF" w:usb1="4201EC7B" w:usb2="00000000" w:usb3="00000000" w:csb0="00000193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C271" w14:textId="77777777" w:rsidR="00F85C9B" w:rsidRDefault="00000000" w:rsidP="00A01250">
    <w:pPr>
      <w:spacing w:after="160" w:line="240" w:lineRule="auto"/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</w:pPr>
    <w:r>
      <w:rPr>
        <w:rFonts w:ascii="Tehnika" w:eastAsia="Times New Roman" w:hAnsi="Tehnika" w:cs="Times New Roman (Body CS)"/>
        <w:smallCaps/>
        <w:noProof/>
        <w:kern w:val="0"/>
        <w:sz w:val="22"/>
        <w:szCs w:val="22"/>
        <w:lang w:val="hr-HR"/>
      </w:rPr>
      <w:drawing>
        <wp:anchor distT="0" distB="0" distL="114300" distR="114300" simplePos="0" relativeHeight="251659264" behindDoc="1" locked="0" layoutInCell="1" allowOverlap="1" wp14:anchorId="1E7AD153" wp14:editId="68BD1AD1">
          <wp:simplePos x="0" y="0"/>
          <wp:positionH relativeFrom="column">
            <wp:posOffset>3728197</wp:posOffset>
          </wp:positionH>
          <wp:positionV relativeFrom="paragraph">
            <wp:posOffset>82005</wp:posOffset>
          </wp:positionV>
          <wp:extent cx="3004519" cy="1461419"/>
          <wp:effectExtent l="0" t="0" r="5715" b="0"/>
          <wp:wrapNone/>
          <wp:docPr id="103359804" name="Picture 2" descr="A blue lin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70560" name="Picture 2" descr="A blue line drawing of a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763" cy="146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3582B" w14:textId="77777777" w:rsidR="00F85C9B" w:rsidRDefault="00F85C9B" w:rsidP="00A01250">
    <w:pPr>
      <w:spacing w:after="160" w:line="240" w:lineRule="auto"/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</w:pPr>
  </w:p>
  <w:p w14:paraId="03AA51DA" w14:textId="2285EBA6" w:rsidR="00F85C9B" w:rsidRPr="00CA2A2A" w:rsidRDefault="00000000" w:rsidP="00A01250">
    <w:pPr>
      <w:spacing w:after="160" w:line="240" w:lineRule="auto"/>
      <w:rPr>
        <w:rFonts w:ascii="Tehnika" w:eastAsia="Times New Roman" w:hAnsi="Tehnika" w:cs="Times New Roman (Body CS)"/>
        <w:smallCaps/>
        <w:kern w:val="0"/>
        <w:sz w:val="22"/>
        <w:szCs w:val="22"/>
        <w:lang w:val="hr-HR"/>
        <w14:ligatures w14:val="none"/>
        <w14:numForm w14:val="lining"/>
      </w:rPr>
    </w:pP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tehnika d.d. 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br/>
      <w:t xml:space="preserve">upisana u sudski registar trgovačkog suda u zagrebu 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080034838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br/>
      <w:t xml:space="preserve">mb 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32 75 388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</w:t>
    </w:r>
    <w:r w:rsidRPr="005952D0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—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oib 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73037001250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</w:t>
    </w:r>
    <w:r w:rsidRPr="005952D0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—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iban hr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8723600001101226612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kod zagrebačke banke d.d. 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br/>
    </w:r>
    <w:r w:rsidR="00D0659C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direktor.marin štenglin; 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predsjednik nadzornog odbora: </w:t>
    </w:r>
    <w:r w:rsidR="00D0659C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>prof. dr. sc. davor filipović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>.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br/>
      <w:t xml:space="preserve">temeljni kapital: 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22.545.740,00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eur uplaćen u cijelosti 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br/>
      <w:t xml:space="preserve">ukupan broj redovnih dionica serije a: 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189.460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po </w:t>
    </w:r>
    <w:r w:rsidRPr="00CA2A2A">
      <w:rPr>
        <w:rFonts w:ascii="Tehnika" w:hAnsi="Tehnika" w:cs="Times New Roman (Body CS)"/>
        <w:smallCaps/>
        <w:color w:val="0E2841" w:themeColor="text2"/>
        <w:sz w:val="12"/>
        <w:szCs w:val="12"/>
        <w:lang w:val="hr-HR"/>
        <w14:numForm w14:val="lining"/>
      </w:rPr>
      <w:t>119,00</w:t>
    </w:r>
    <w:r w:rsidRPr="00CA2A2A">
      <w:rPr>
        <w:rFonts w:ascii="Tehnika" w:hAnsi="Tehnika" w:cs="Times New Roman (Body CS)"/>
        <w:smallCaps/>
        <w:color w:val="0E2841" w:themeColor="text2"/>
        <w:sz w:val="15"/>
        <w:szCs w:val="15"/>
        <w:lang w:val="hr-HR"/>
        <w14:numForm w14:val="lining"/>
      </w:rPr>
      <w:t xml:space="preserve"> eur</w:t>
    </w:r>
  </w:p>
  <w:p w14:paraId="3812BEB6" w14:textId="77777777" w:rsidR="00F85C9B" w:rsidRDefault="00F8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E3D7" w14:textId="77777777" w:rsidR="00F85C9B" w:rsidRDefault="00000000">
    <w:pPr>
      <w:pStyle w:val="Footer"/>
    </w:pPr>
    <w:r>
      <w:rPr>
        <w:noProof/>
      </w:rPr>
      <w:drawing>
        <wp:inline distT="0" distB="0" distL="0" distR="0" wp14:anchorId="39BAB093" wp14:editId="4A14B96A">
          <wp:extent cx="6739128" cy="1480424"/>
          <wp:effectExtent l="0" t="0" r="5080" b="5715"/>
          <wp:docPr id="17965280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040896" name="Picture 2109040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128" cy="14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F24B" w14:textId="77777777" w:rsidR="002F7DA2" w:rsidRDefault="002F7DA2">
      <w:pPr>
        <w:spacing w:after="0" w:line="240" w:lineRule="auto"/>
      </w:pPr>
      <w:r>
        <w:separator/>
      </w:r>
    </w:p>
  </w:footnote>
  <w:footnote w:type="continuationSeparator" w:id="0">
    <w:p w14:paraId="20B91D53" w14:textId="77777777" w:rsidR="002F7DA2" w:rsidRDefault="002F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4625" w14:textId="77777777" w:rsidR="00F85C9B" w:rsidRDefault="00000000" w:rsidP="004C5C26">
    <w:pPr>
      <w:pStyle w:val="Header"/>
      <w:ind w:left="4680" w:hanging="4680"/>
    </w:pPr>
    <w:r>
      <w:rPr>
        <w:noProof/>
      </w:rPr>
      <w:drawing>
        <wp:inline distT="0" distB="0" distL="0" distR="0" wp14:anchorId="686D3F48" wp14:editId="42219C6D">
          <wp:extent cx="2991728" cy="810260"/>
          <wp:effectExtent l="0" t="0" r="5715" b="2540"/>
          <wp:docPr id="722022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4118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074" cy="884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tbl>
    <w:tblPr>
      <w:tblStyle w:val="TableGrid"/>
      <w:tblW w:w="1044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5"/>
      <w:gridCol w:w="2970"/>
      <w:gridCol w:w="4585"/>
    </w:tblGrid>
    <w:tr w:rsidR="004C5C26" w14:paraId="7759F5D2" w14:textId="77777777" w:rsidTr="00CB4A24">
      <w:trPr>
        <w:trHeight w:val="540"/>
      </w:trPr>
      <w:tc>
        <w:tcPr>
          <w:tcW w:w="2885" w:type="dxa"/>
        </w:tcPr>
        <w:p w14:paraId="2DC9FCA4" w14:textId="77777777" w:rsidR="00F85C9B" w:rsidRPr="00BA72FC" w:rsidRDefault="00000000" w:rsidP="00BA72FC">
          <w:pPr>
            <w:spacing w:line="228" w:lineRule="auto"/>
            <w:rPr>
              <w:rFonts w:ascii="Tehnika" w:eastAsia="Times New Roman" w:hAnsi="Tehnika" w:cs="Times New Roman"/>
              <w:color w:val="0E2841" w:themeColor="text2"/>
              <w:kern w:val="0"/>
              <w:sz w:val="16"/>
              <w:szCs w:val="16"/>
              <w:lang w:val="hr-HR"/>
              <w14:ligatures w14:val="none"/>
            </w:rPr>
          </w:pPr>
          <w:r w:rsidRPr="00BA72FC">
            <w:rPr>
              <w:rFonts w:ascii="Tehnika" w:eastAsia="Times New Roman" w:hAnsi="Tehnika" w:cs="Times New Roman"/>
              <w:color w:val="0E2841" w:themeColor="text2"/>
              <w:kern w:val="0"/>
              <w:sz w:val="16"/>
              <w:szCs w:val="16"/>
              <w:lang w:val="hr-HR"/>
              <w14:ligatures w14:val="none"/>
            </w:rPr>
            <w:t xml:space="preserve">Dioničko društvo za </w:t>
          </w:r>
          <w:r>
            <w:rPr>
              <w:rFonts w:ascii="Tehnika" w:eastAsia="Times New Roman" w:hAnsi="Tehnika" w:cs="Times New Roman"/>
              <w:color w:val="0E2841" w:themeColor="text2"/>
              <w:kern w:val="0"/>
              <w:sz w:val="16"/>
              <w:szCs w:val="16"/>
              <w:lang w:val="hr-HR"/>
              <w14:ligatures w14:val="none"/>
            </w:rPr>
            <w:br/>
          </w:r>
          <w:r w:rsidRPr="00BA72FC">
            <w:rPr>
              <w:rFonts w:ascii="Tehnika" w:eastAsia="Times New Roman" w:hAnsi="Tehnika" w:cs="Times New Roman"/>
              <w:color w:val="0E2841" w:themeColor="text2"/>
              <w:kern w:val="0"/>
              <w:sz w:val="16"/>
              <w:szCs w:val="16"/>
              <w:lang w:val="hr-HR"/>
              <w14:ligatures w14:val="none"/>
            </w:rPr>
            <w:t xml:space="preserve">graditeljstvo, inženjering, </w:t>
          </w:r>
          <w:r>
            <w:rPr>
              <w:rFonts w:ascii="Tehnika" w:eastAsia="Times New Roman" w:hAnsi="Tehnika" w:cs="Times New Roman"/>
              <w:color w:val="0E2841" w:themeColor="text2"/>
              <w:kern w:val="0"/>
              <w:sz w:val="16"/>
              <w:szCs w:val="16"/>
              <w:lang w:val="hr-HR"/>
              <w14:ligatures w14:val="none"/>
            </w:rPr>
            <w:br/>
          </w:r>
          <w:r w:rsidRPr="00BA72FC">
            <w:rPr>
              <w:rFonts w:ascii="Tehnika" w:eastAsia="Times New Roman" w:hAnsi="Tehnika" w:cs="Times New Roman"/>
              <w:color w:val="0E2841" w:themeColor="text2"/>
              <w:kern w:val="0"/>
              <w:sz w:val="16"/>
              <w:szCs w:val="16"/>
              <w:lang w:val="hr-HR"/>
              <w14:ligatures w14:val="none"/>
            </w:rPr>
            <w:t>proizvodnju i trgovinu</w:t>
          </w:r>
        </w:p>
      </w:tc>
      <w:tc>
        <w:tcPr>
          <w:tcW w:w="2970" w:type="dxa"/>
        </w:tcPr>
        <w:p w14:paraId="38EDFB84" w14:textId="77777777" w:rsidR="00F85C9B" w:rsidRPr="004C5C26" w:rsidRDefault="00000000" w:rsidP="004C5C26">
          <w:pPr>
            <w:pStyle w:val="Header"/>
            <w:spacing w:line="228" w:lineRule="auto"/>
            <w:rPr>
              <w:rFonts w:ascii="Tehnika" w:hAnsi="Tehnika"/>
              <w:sz w:val="16"/>
              <w:szCs w:val="16"/>
            </w:rPr>
          </w:pPr>
          <w:r>
            <w:rPr>
              <w:rFonts w:ascii="Tehnika" w:hAnsi="Tehnika"/>
              <w:color w:val="0E2841" w:themeColor="text2"/>
              <w:sz w:val="16"/>
              <w:szCs w:val="16"/>
            </w:rPr>
            <w:t>Joint- s</w:t>
          </w:r>
          <w:r w:rsidRPr="004C5C26">
            <w:rPr>
              <w:rFonts w:ascii="Tehnika" w:hAnsi="Tehnika"/>
              <w:color w:val="0E2841" w:themeColor="text2"/>
              <w:sz w:val="16"/>
              <w:szCs w:val="16"/>
            </w:rPr>
            <w:t xml:space="preserve">tock company for building </w:t>
          </w:r>
          <w:r>
            <w:rPr>
              <w:rFonts w:ascii="Tehnika" w:hAnsi="Tehnika"/>
              <w:color w:val="0E2841" w:themeColor="text2"/>
              <w:sz w:val="16"/>
              <w:szCs w:val="16"/>
            </w:rPr>
            <w:br/>
          </w:r>
          <w:r w:rsidRPr="004C5C26">
            <w:rPr>
              <w:rFonts w:ascii="Tehnika" w:hAnsi="Tehnika"/>
              <w:color w:val="0E2841" w:themeColor="text2"/>
              <w:sz w:val="16"/>
              <w:szCs w:val="16"/>
            </w:rPr>
            <w:t xml:space="preserve">construction, engineering, </w:t>
          </w:r>
          <w:r>
            <w:rPr>
              <w:rFonts w:ascii="Tehnika" w:hAnsi="Tehnika"/>
              <w:color w:val="0E2841" w:themeColor="text2"/>
              <w:sz w:val="16"/>
              <w:szCs w:val="16"/>
            </w:rPr>
            <w:br/>
          </w:r>
          <w:r w:rsidRPr="004C5C26">
            <w:rPr>
              <w:rFonts w:ascii="Tehnika" w:hAnsi="Tehnika"/>
              <w:color w:val="0E2841" w:themeColor="text2"/>
              <w:sz w:val="16"/>
              <w:szCs w:val="16"/>
            </w:rPr>
            <w:t>production &amp; trade</w:t>
          </w:r>
        </w:p>
      </w:tc>
      <w:tc>
        <w:tcPr>
          <w:tcW w:w="4585" w:type="dxa"/>
        </w:tcPr>
        <w:p w14:paraId="1CD6CBED" w14:textId="77777777" w:rsidR="00F85C9B" w:rsidRDefault="00000000" w:rsidP="004C5C26">
          <w:pPr>
            <w:pStyle w:val="Header"/>
            <w:spacing w:line="228" w:lineRule="auto"/>
          </w:pPr>
          <w:r w:rsidRPr="004C5C26">
            <w:rPr>
              <w:rFonts w:ascii="Tehnika" w:hAnsi="Tehnika"/>
              <w:color w:val="0E2841" w:themeColor="text2"/>
              <w:sz w:val="16"/>
              <w:szCs w:val="16"/>
            </w:rPr>
            <w:t xml:space="preserve">Ulica grada Vukovara 274, 10000 Zagreb </w:t>
          </w:r>
          <w:r>
            <w:rPr>
              <w:rFonts w:ascii="Tehnika" w:hAnsi="Tehnika"/>
              <w:color w:val="0E2841" w:themeColor="text2"/>
              <w:sz w:val="16"/>
              <w:szCs w:val="16"/>
            </w:rPr>
            <w:br/>
          </w:r>
          <w:r w:rsidRPr="004C5C26">
            <w:rPr>
              <w:rFonts w:ascii="Tehnika" w:hAnsi="Tehnika"/>
              <w:color w:val="0E2841" w:themeColor="text2"/>
              <w:sz w:val="16"/>
              <w:szCs w:val="16"/>
            </w:rPr>
            <w:t xml:space="preserve">+385 (0) 1 6301 111 — fax +385 (0) 1 6187 696 </w:t>
          </w:r>
          <w:r>
            <w:rPr>
              <w:rFonts w:ascii="Tehnika" w:hAnsi="Tehnika"/>
              <w:color w:val="0E2841" w:themeColor="text2"/>
              <w:sz w:val="16"/>
              <w:szCs w:val="16"/>
            </w:rPr>
            <w:br/>
          </w:r>
          <w:r w:rsidRPr="004C5C26">
            <w:rPr>
              <w:rFonts w:ascii="Tehnika" w:hAnsi="Tehnika"/>
              <w:color w:val="0E2841" w:themeColor="text2"/>
              <w:sz w:val="16"/>
              <w:szCs w:val="16"/>
            </w:rPr>
            <w:t>www.tehnika.hr — tehnika@tehnika.hr</w:t>
          </w:r>
        </w:p>
      </w:tc>
    </w:tr>
  </w:tbl>
  <w:p w14:paraId="5138785E" w14:textId="77777777" w:rsidR="00F85C9B" w:rsidRDefault="00F85C9B" w:rsidP="004C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F"/>
    <w:rsid w:val="00074EBD"/>
    <w:rsid w:val="000D1A1F"/>
    <w:rsid w:val="002F7DA2"/>
    <w:rsid w:val="0042238D"/>
    <w:rsid w:val="00655F87"/>
    <w:rsid w:val="009C7B01"/>
    <w:rsid w:val="00B83513"/>
    <w:rsid w:val="00BE120F"/>
    <w:rsid w:val="00C3344C"/>
    <w:rsid w:val="00D0659C"/>
    <w:rsid w:val="00EE663B"/>
    <w:rsid w:val="00F43206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72BE"/>
  <w15:chartTrackingRefBased/>
  <w15:docId w15:val="{9A25145D-C15D-4E76-83D3-732F32A9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1F"/>
    <w:pPr>
      <w:spacing w:after="200" w:line="276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A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0D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1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0D1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1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hr-HR"/>
    </w:rPr>
  </w:style>
  <w:style w:type="character" w:customStyle="1" w:styleId="QuoteChar">
    <w:name w:val="Quote Char"/>
    <w:basedOn w:val="DefaultParagraphFont"/>
    <w:link w:val="Quote"/>
    <w:uiPriority w:val="29"/>
    <w:rsid w:val="000D1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1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hr-HR"/>
    </w:rPr>
  </w:style>
  <w:style w:type="character" w:styleId="IntenseEmphasis">
    <w:name w:val="Intense Emphasis"/>
    <w:basedOn w:val="DefaultParagraphFont"/>
    <w:uiPriority w:val="21"/>
    <w:qFormat/>
    <w:rsid w:val="000D1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1F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1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A1F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D1A1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Lemaić</dc:creator>
  <cp:keywords/>
  <dc:description/>
  <cp:lastModifiedBy>Damir Lemaić</cp:lastModifiedBy>
  <cp:revision>2</cp:revision>
  <dcterms:created xsi:type="dcterms:W3CDTF">2025-07-31T08:11:00Z</dcterms:created>
  <dcterms:modified xsi:type="dcterms:W3CDTF">2025-07-31T08:11:00Z</dcterms:modified>
</cp:coreProperties>
</file>